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青岛农村商业银行股份有限公司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lang w:val="en-US" w:eastAsia="zh-CN"/>
        </w:rPr>
        <w:t>三季度</w:t>
      </w:r>
      <w:r>
        <w:rPr>
          <w:rFonts w:hint="eastAsia" w:ascii="方正小标宋简体" w:hAnsi="方正小标宋简体" w:eastAsia="方正小标宋简体" w:cs="方正小标宋简体"/>
          <w:sz w:val="44"/>
          <w:szCs w:val="44"/>
          <w:lang w:eastAsia="zh-CN"/>
        </w:rPr>
        <w:t>第三支柱信息披露报告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pStyle w:val="2"/>
        <w:spacing w:before="0" w:beforeLines="0" w:after="0" w:afterLines="0"/>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一、引言</w:t>
      </w:r>
    </w:p>
    <w:p>
      <w:pPr>
        <w:pStyle w:val="2"/>
        <w:spacing w:beforeLines="0" w:afterLine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（一）披露依据</w:t>
      </w:r>
    </w:p>
    <w:p>
      <w:pPr>
        <w:pStyle w:val="2"/>
        <w:spacing w:beforeLines="0" w:afterLines="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本报告根据国家金融监督管理总局</w:t>
      </w:r>
      <w:r>
        <w:rPr>
          <w:rFonts w:hint="eastAsia" w:ascii="仿宋_GB2312" w:hAnsi="仿宋_GB2312" w:eastAsia="仿宋_GB2312"/>
          <w:sz w:val="32"/>
          <w:szCs w:val="32"/>
          <w:lang w:val="en-US" w:eastAsia="zh-CN"/>
        </w:rPr>
        <w:t>2023</w:t>
      </w:r>
      <w:r>
        <w:rPr>
          <w:rFonts w:hint="eastAsia" w:ascii="仿宋_GB2312" w:hAnsi="仿宋_GB2312" w:eastAsia="仿宋_GB2312"/>
          <w:sz w:val="32"/>
          <w:szCs w:val="32"/>
          <w:lang w:eastAsia="zh-CN"/>
        </w:rPr>
        <w:t>年</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lang w:eastAsia="zh-CN"/>
        </w:rPr>
        <w:t>月发布的《商业银行资本管理办法》（以下简称《资本管理办法》）相关规定编制并披露。</w:t>
      </w:r>
    </w:p>
    <w:p>
      <w:pPr>
        <w:pStyle w:val="2"/>
        <w:spacing w:beforeLines="0" w:afterLine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（二）披露治理架构及内控流程</w:t>
      </w:r>
    </w:p>
    <w:p>
      <w:pPr>
        <w:pStyle w:val="2"/>
        <w:spacing w:beforeLines="0" w:afterLines="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行建立并持续完善第三支柱信息披露体系，形成了组织架构健全、职责边界清晰的第三支柱信息披露治理架构，明确了董事会、监事会、高级管理层、总行各部门和附属机构在第三支柱信息披露中的职责分工，建立了由董事会批准并由高级管理层实施有效的内部控制流程，明确了第三支柱信息披露报告的编制、审议和发布流程，对信息披露内容进行合理审查，确保第三支柱披露信息真实、可靠。</w:t>
      </w:r>
    </w:p>
    <w:p>
      <w:pPr>
        <w:pStyle w:val="2"/>
        <w:spacing w:before="0" w:beforeLines="0" w:after="0" w:afterLines="0"/>
        <w:ind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二、风险管理、关键审慎监管指标和风险加权资产概览</w:t>
      </w:r>
    </w:p>
    <w:p>
      <w:pPr>
        <w:pStyle w:val="2"/>
        <w:spacing w:beforeLines="0" w:afterLine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（一）监管并表关键审慎监管指标</w:t>
      </w:r>
    </w:p>
    <w:p>
      <w:pPr>
        <w:pStyle w:val="2"/>
        <w:spacing w:beforeLines="0" w:afterLines="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截至</w:t>
      </w:r>
      <w:r>
        <w:rPr>
          <w:rFonts w:hint="eastAsia" w:ascii="仿宋_GB2312" w:hAnsi="仿宋_GB2312" w:eastAsia="仿宋_GB2312"/>
          <w:sz w:val="32"/>
          <w:szCs w:val="32"/>
          <w:lang w:val="en-US" w:eastAsia="zh-CN"/>
        </w:rPr>
        <w:t>2025年9月末</w:t>
      </w:r>
      <w:r>
        <w:rPr>
          <w:rFonts w:hint="eastAsia" w:ascii="仿宋_GB2312" w:hAnsi="仿宋_GB2312" w:eastAsia="仿宋_GB2312"/>
          <w:sz w:val="32"/>
          <w:szCs w:val="32"/>
          <w:lang w:eastAsia="zh-CN"/>
        </w:rPr>
        <w:t>，本行核心一级资本充足率为</w:t>
      </w:r>
      <w:r>
        <w:rPr>
          <w:rFonts w:hint="eastAsia" w:ascii="仿宋_GB2312" w:hAnsi="仿宋_GB2312" w:eastAsia="仿宋_GB2312"/>
          <w:sz w:val="32"/>
          <w:szCs w:val="32"/>
          <w:lang w:val="en-US" w:eastAsia="zh-CN"/>
        </w:rPr>
        <w:t>10.67</w:t>
      </w:r>
      <w:r>
        <w:rPr>
          <w:rFonts w:hint="eastAsia" w:ascii="仿宋_GB2312" w:hAnsi="仿宋_GB2312" w:eastAsia="仿宋_GB2312"/>
          <w:sz w:val="32"/>
          <w:szCs w:val="32"/>
          <w:lang w:eastAsia="zh-CN"/>
        </w:rPr>
        <w:t>%，一级资本充足率为</w:t>
      </w:r>
      <w:r>
        <w:rPr>
          <w:rFonts w:hint="eastAsia" w:ascii="仿宋_GB2312" w:hAnsi="仿宋_GB2312" w:eastAsia="仿宋_GB2312"/>
          <w:sz w:val="32"/>
          <w:szCs w:val="32"/>
          <w:lang w:val="en-US" w:eastAsia="zh-CN"/>
        </w:rPr>
        <w:t>13.67</w:t>
      </w:r>
      <w:r>
        <w:rPr>
          <w:rFonts w:hint="eastAsia" w:ascii="仿宋_GB2312" w:hAnsi="仿宋_GB2312" w:eastAsia="仿宋_GB2312"/>
          <w:sz w:val="32"/>
          <w:szCs w:val="32"/>
          <w:lang w:eastAsia="zh-CN"/>
        </w:rPr>
        <w:t>%，资本充足率为</w:t>
      </w:r>
      <w:r>
        <w:rPr>
          <w:rFonts w:hint="eastAsia" w:ascii="仿宋_GB2312" w:hAnsi="仿宋_GB2312" w:eastAsia="仿宋_GB2312"/>
          <w:sz w:val="32"/>
          <w:szCs w:val="32"/>
          <w:lang w:val="en-US" w:eastAsia="zh-CN"/>
        </w:rPr>
        <w:t>15.38</w:t>
      </w:r>
      <w:r>
        <w:rPr>
          <w:rFonts w:hint="eastAsia" w:ascii="仿宋_GB2312" w:hAnsi="仿宋_GB2312" w:eastAsia="仿宋_GB2312"/>
          <w:sz w:val="32"/>
          <w:szCs w:val="32"/>
          <w:lang w:eastAsia="zh-CN"/>
        </w:rPr>
        <w:t>%，杠杆率为</w:t>
      </w:r>
      <w:r>
        <w:rPr>
          <w:rFonts w:hint="eastAsia" w:ascii="仿宋_GB2312" w:hAnsi="仿宋_GB2312" w:eastAsia="仿宋_GB2312"/>
          <w:sz w:val="32"/>
          <w:szCs w:val="32"/>
          <w:lang w:val="en-US" w:eastAsia="zh-CN"/>
        </w:rPr>
        <w:t>8.14</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流动性覆盖率为</w:t>
      </w:r>
      <w:r>
        <w:rPr>
          <w:rFonts w:hint="eastAsia" w:ascii="仿宋_GB2312" w:hAnsi="仿宋_GB2312" w:eastAsia="仿宋_GB2312"/>
          <w:sz w:val="32"/>
          <w:szCs w:val="32"/>
          <w:lang w:val="en-US" w:eastAsia="zh-CN"/>
        </w:rPr>
        <w:t>313.96</w:t>
      </w:r>
      <w:r>
        <w:rPr>
          <w:rFonts w:hint="eastAsia" w:ascii="仿宋_GB2312" w:hAnsi="仿宋_GB2312" w:eastAsia="仿宋_GB2312"/>
          <w:sz w:val="32"/>
          <w:szCs w:val="32"/>
        </w:rPr>
        <w:t>%，净稳定资金比例为</w:t>
      </w:r>
      <w:r>
        <w:rPr>
          <w:rFonts w:hint="eastAsia" w:ascii="仿宋_GB2312" w:hAnsi="仿宋_GB2312" w:eastAsia="仿宋_GB2312"/>
          <w:sz w:val="32"/>
          <w:szCs w:val="32"/>
          <w:lang w:val="en-US" w:eastAsia="zh-CN"/>
        </w:rPr>
        <w:t>145.80</w:t>
      </w:r>
      <w:r>
        <w:rPr>
          <w:rFonts w:hint="eastAsia" w:ascii="仿宋_GB2312" w:hAnsi="仿宋_GB2312" w:eastAsia="仿宋_GB2312"/>
          <w:sz w:val="32"/>
          <w:szCs w:val="32"/>
        </w:rPr>
        <w:t>%，流动性比例为</w:t>
      </w:r>
      <w:r>
        <w:rPr>
          <w:rFonts w:hint="eastAsia" w:ascii="仿宋_GB2312" w:hAnsi="仿宋_GB2312" w:eastAsia="仿宋_GB2312"/>
          <w:sz w:val="32"/>
          <w:szCs w:val="32"/>
          <w:lang w:val="en-US" w:eastAsia="zh-CN"/>
        </w:rPr>
        <w:t>104.21</w:t>
      </w:r>
      <w:r>
        <w:rPr>
          <w:rFonts w:hint="eastAsia" w:ascii="仿宋_GB2312" w:hAnsi="仿宋_GB2312" w:eastAsia="仿宋_GB2312"/>
          <w:sz w:val="32"/>
          <w:szCs w:val="32"/>
        </w:rPr>
        <w:t>%，各项指标均符合监管要求。具体情况如下表所示</w:t>
      </w:r>
      <w:r>
        <w:rPr>
          <w:rFonts w:hint="eastAsia" w:ascii="仿宋_GB2312" w:hAnsi="仿宋_GB2312" w:eastAsia="仿宋_GB2312"/>
          <w:sz w:val="32"/>
          <w:szCs w:val="32"/>
          <w:lang w:eastAsia="zh-CN"/>
        </w:rPr>
        <w:t>：</w:t>
      </w:r>
    </w:p>
    <w:p>
      <w:pPr>
        <w:pStyle w:val="2"/>
        <w:ind w:firstLine="0" w:firstLineChars="0"/>
        <w:jc w:val="center"/>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表1</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lang w:eastAsia="zh-CN"/>
        </w:rPr>
        <w:t>KM1-监管并表关键审慎监管指标</w:t>
      </w:r>
    </w:p>
    <w:p>
      <w:pPr>
        <w:pStyle w:val="2"/>
        <w:ind w:firstLine="4620" w:firstLineChars="21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单位：人民币千元（百分比除外）</w:t>
      </w:r>
    </w:p>
    <w:tbl>
      <w:tblPr>
        <w:tblStyle w:val="8"/>
        <w:tblW w:w="92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8"/>
        <w:gridCol w:w="2048"/>
        <w:gridCol w:w="1329"/>
        <w:gridCol w:w="1329"/>
        <w:gridCol w:w="1329"/>
        <w:gridCol w:w="1329"/>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监管并表关键审慎监管指标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color w:val="000000"/>
                <w:sz w:val="18"/>
                <w:szCs w:val="18"/>
                <w:u w:val="none"/>
              </w:rPr>
            </w:pPr>
          </w:p>
        </w:tc>
        <w:tc>
          <w:tcPr>
            <w:tcW w:w="132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2025年9月30日</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2025年6月30日</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2025年3月31日</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2024年12月31日</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2024年9月30日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核心一级资本净额</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35,525,641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34,969,358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34,221,456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34,269,354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34,418,323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一级资本净额</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45,515,576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39,968,675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39,227,698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39,289,612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39,458,365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资本净额</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51,191,616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45,556,181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44,829,613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44,735,496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44,996,879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风险加权资产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iCs w:val="0"/>
                <w:color w:val="000000"/>
                <w:kern w:val="2"/>
                <w:sz w:val="18"/>
                <w:szCs w:val="18"/>
                <w:u w:val="none"/>
                <w:lang w:val="en-US" w:eastAsia="zh-CN" w:bidi="ar-SA"/>
              </w:rPr>
            </w:pPr>
            <w:r>
              <w:rPr>
                <w:rFonts w:hint="eastAsia" w:ascii="华文细黑" w:hAnsi="华文细黑" w:eastAsia="华文细黑" w:cs="华文细黑"/>
                <w:i w:val="0"/>
                <w:iCs w:val="0"/>
                <w:color w:val="000000"/>
                <w:kern w:val="0"/>
                <w:sz w:val="18"/>
                <w:szCs w:val="18"/>
                <w:u w:val="none"/>
                <w:lang w:val="en-US" w:eastAsia="zh-CN" w:bidi="ar"/>
              </w:rPr>
              <w:t>332,937,922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330,657,445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333,317,560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320,364,879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322,309,094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核心一级资本充足率（%）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lang w:val="en-US"/>
              </w:rPr>
            </w:pPr>
            <w:r>
              <w:rPr>
                <w:rFonts w:hint="eastAsia" w:ascii="华文细黑" w:hAnsi="华文细黑" w:eastAsia="华文细黑" w:cs="华文细黑"/>
                <w:i w:val="0"/>
                <w:iCs w:val="0"/>
                <w:color w:val="000000"/>
                <w:kern w:val="0"/>
                <w:sz w:val="18"/>
                <w:szCs w:val="18"/>
                <w:u w:val="none"/>
                <w:lang w:val="en-US" w:eastAsia="zh-CN" w:bidi="ar"/>
              </w:rPr>
              <w:t>10.67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10.58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10.27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10.70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一级资本充足率（%）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lang w:val="en-US"/>
              </w:rPr>
            </w:pPr>
            <w:r>
              <w:rPr>
                <w:rFonts w:hint="eastAsia" w:ascii="华文细黑" w:hAnsi="华文细黑" w:eastAsia="华文细黑" w:cs="华文细黑"/>
                <w:i w:val="0"/>
                <w:iCs w:val="0"/>
                <w:color w:val="000000"/>
                <w:kern w:val="0"/>
                <w:sz w:val="18"/>
                <w:szCs w:val="18"/>
                <w:u w:val="none"/>
                <w:lang w:val="en-US" w:eastAsia="zh-CN" w:bidi="ar"/>
              </w:rPr>
              <w:t>13.67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12.09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11.77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12.26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资本充足率（%）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lang w:val="en-US"/>
              </w:rPr>
            </w:pPr>
            <w:r>
              <w:rPr>
                <w:rFonts w:hint="eastAsia" w:ascii="华文细黑" w:hAnsi="华文细黑" w:eastAsia="华文细黑" w:cs="华文细黑"/>
                <w:i w:val="0"/>
                <w:iCs w:val="0"/>
                <w:color w:val="000000"/>
                <w:kern w:val="0"/>
                <w:sz w:val="18"/>
                <w:szCs w:val="18"/>
                <w:u w:val="none"/>
                <w:lang w:val="en-US" w:eastAsia="zh-CN" w:bidi="ar"/>
              </w:rPr>
              <w:t>15.38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13.78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13.45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13.96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储备资本要求（%）</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逆周期资本要求（%）</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全球系统重要性银行或国内系统重要性银行附加资本要求（%）</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其他各级资本要求（%）（8+9+10）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满足最低资本要求后的可用核心一级资本净额占风险加权资产的比例（%）</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lang w:val="en-US"/>
              </w:rPr>
            </w:pPr>
            <w:r>
              <w:rPr>
                <w:rFonts w:hint="eastAsia" w:ascii="华文细黑" w:hAnsi="华文细黑" w:eastAsia="华文细黑" w:cs="华文细黑"/>
                <w:i w:val="0"/>
                <w:iCs w:val="0"/>
                <w:color w:val="000000"/>
                <w:kern w:val="0"/>
                <w:sz w:val="18"/>
                <w:szCs w:val="18"/>
                <w:u w:val="none"/>
                <w:lang w:val="en-US" w:eastAsia="zh-CN" w:bidi="ar"/>
              </w:rPr>
              <w:t>5.67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5.58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5.27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调整后表内外资产余额</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558,879,043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549,836,198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569,145,896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524,556,283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502,718,994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8.14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7.27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6.89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7.49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14a</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杠杆率a（%）</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8.14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7.27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6.89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7.49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合格优质流动性资产</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75,823,372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58,052,265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61,073,724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53,429,257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58,704,959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现金净流出量</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24,150,771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16,638,469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23,438,374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14,531,526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19,117,796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流动性覆盖率（%）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313.96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348.90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260.57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367.68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307.07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可用稳定资金合计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352,149,744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349,135,180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348,270,371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338,864,419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333,766,863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所需稳定资金合计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241,532,780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244,332,993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245,651,272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238,928,331 </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237,059,559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净稳定资金比例（%）</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lang w:val="en-US"/>
              </w:rPr>
            </w:pPr>
            <w:r>
              <w:rPr>
                <w:rFonts w:hint="eastAsia" w:ascii="华文细黑" w:hAnsi="华文细黑" w:eastAsia="华文细黑" w:cs="华文细黑"/>
                <w:i w:val="0"/>
                <w:iCs w:val="0"/>
                <w:color w:val="000000"/>
                <w:kern w:val="0"/>
                <w:sz w:val="18"/>
                <w:szCs w:val="18"/>
                <w:u w:val="none"/>
                <w:lang w:val="en-US" w:eastAsia="zh-CN" w:bidi="ar"/>
              </w:rPr>
              <w:t>145.80</w:t>
            </w:r>
            <w:bookmarkStart w:id="0" w:name="_GoBack"/>
            <w:bookmarkEnd w:id="0"/>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142.89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141.77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141.83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22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流动性比例（%）</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lang w:val="en-US"/>
              </w:rPr>
            </w:pPr>
            <w:r>
              <w:rPr>
                <w:rFonts w:hint="eastAsia" w:ascii="华文细黑" w:hAnsi="华文细黑" w:eastAsia="华文细黑" w:cs="华文细黑"/>
                <w:i w:val="0"/>
                <w:iCs w:val="0"/>
                <w:color w:val="000000"/>
                <w:kern w:val="0"/>
                <w:sz w:val="18"/>
                <w:szCs w:val="18"/>
                <w:u w:val="none"/>
                <w:lang w:val="en-US" w:eastAsia="zh-CN" w:bidi="ar"/>
              </w:rPr>
              <w:t>104.21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95.27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80.78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104.51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96.73</w:t>
            </w:r>
          </w:p>
        </w:tc>
      </w:tr>
    </w:tbl>
    <w:p>
      <w:pPr>
        <w:pStyle w:val="2"/>
        <w:ind w:firstLine="0" w:firstLineChars="0"/>
        <w:rPr>
          <w:rFonts w:hint="eastAsia" w:ascii="仿宋_GB2312" w:hAnsi="仿宋_GB2312" w:eastAsia="仿宋_GB2312"/>
          <w:sz w:val="32"/>
          <w:szCs w:val="32"/>
          <w:lang w:eastAsia="zh-CN"/>
        </w:rPr>
      </w:pPr>
    </w:p>
    <w:p>
      <w:pPr>
        <w:pStyle w:val="2"/>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）风险加权资产概览</w:t>
      </w:r>
    </w:p>
    <w:p>
      <w:pPr>
        <w:pStyle w:val="2"/>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本行依据《资本管理办法》计量资本充足率。信用风险加权资产计量采用权重法，市场风险加权资产计量采用简化标准法，操作风险加权资产计量采用基本指标法。截至2025年</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lang w:eastAsia="zh-CN"/>
        </w:rPr>
        <w:t>月末，各风险加权资产计量结果如下表所示：</w:t>
      </w:r>
    </w:p>
    <w:p>
      <w:pPr>
        <w:pStyle w:val="2"/>
        <w:ind w:firstLine="0" w:firstLineChars="0"/>
        <w:jc w:val="center"/>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表2</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lang w:eastAsia="zh-CN"/>
        </w:rPr>
        <w:t>OV1-风险加权资产概览</w:t>
      </w:r>
    </w:p>
    <w:p>
      <w:pPr>
        <w:pStyle w:val="2"/>
        <w:ind w:firstLine="4620" w:firstLineChars="21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w:t>
      </w:r>
    </w:p>
    <w:tbl>
      <w:tblPr>
        <w:tblStyle w:val="8"/>
        <w:tblW w:w="7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2"/>
        <w:gridCol w:w="2209"/>
        <w:gridCol w:w="1614"/>
        <w:gridCol w:w="1665"/>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27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风险加权资产概况</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风险加权资产</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最低资本要求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27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color w:val="000000"/>
                <w:sz w:val="18"/>
                <w:szCs w:val="18"/>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27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color w:val="000000"/>
                <w:sz w:val="18"/>
                <w:szCs w:val="18"/>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2025年9月30日</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2025年6月30日</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信用风险</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308,316,873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302,152,124 </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24,665,350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市场风险</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5,303,709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8,583,971 </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424,297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操作风险</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19,317,340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19,317,340 </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1,545,387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交易账簿和银行账簿间转换的资本要求</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604,010 </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b/>
                <w:i w:val="0"/>
                <w:color w:val="000000"/>
                <w:sz w:val="18"/>
                <w:szCs w:val="18"/>
                <w:u w:val="none"/>
              </w:rPr>
            </w:pPr>
            <w:r>
              <w:rPr>
                <w:rFonts w:hint="default" w:ascii="华文细黑" w:hAnsi="华文细黑" w:eastAsia="华文细黑" w:cs="华文细黑"/>
                <w:b/>
                <w:i w:val="0"/>
                <w:color w:val="000000"/>
                <w:kern w:val="0"/>
                <w:sz w:val="18"/>
                <w:szCs w:val="18"/>
                <w:u w:val="none"/>
                <w:lang w:val="en-US" w:eastAsia="zh-CN" w:bidi="ar"/>
              </w:rPr>
              <w:t>合计</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332,937,922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330,657,445 </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26,635,034 </w:t>
            </w:r>
          </w:p>
        </w:tc>
      </w:tr>
    </w:tbl>
    <w:p>
      <w:pPr>
        <w:pStyle w:val="2"/>
        <w:spacing w:before="0" w:beforeLines="0" w:after="0" w:afterLines="0"/>
        <w:ind w:firstLine="64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三、杠杆率</w:t>
      </w:r>
    </w:p>
    <w:p>
      <w:pPr>
        <w:pStyle w:val="2"/>
        <w:spacing w:beforeLines="0" w:afterLines="0"/>
        <w:ind w:firstLine="64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（一）杠杆率监管项目与相关会计项目的差异</w:t>
      </w:r>
    </w:p>
    <w:p>
      <w:pPr>
        <w:pStyle w:val="2"/>
        <w:spacing w:beforeLines="0" w:afterLines="0"/>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截至2025年</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lang w:eastAsia="zh-CN"/>
        </w:rPr>
        <w:t>月末，本行杠杆率监管项目与相关会计项目差异的定量信息如下表所示：</w:t>
      </w:r>
    </w:p>
    <w:p>
      <w:pPr>
        <w:pStyle w:val="2"/>
        <w:ind w:firstLine="0" w:firstLineChars="0"/>
        <w:jc w:val="center"/>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表</w:t>
      </w:r>
      <w:r>
        <w:rPr>
          <w:rFonts w:hint="eastAsia" w:ascii="仿宋_GB2312" w:hAnsi="仿宋_GB2312" w:eastAsia="仿宋_GB2312"/>
          <w:sz w:val="30"/>
          <w:szCs w:val="30"/>
          <w:lang w:val="en-US" w:eastAsia="zh-CN"/>
        </w:rPr>
        <w:t xml:space="preserve">3 </w:t>
      </w:r>
      <w:r>
        <w:rPr>
          <w:rFonts w:hint="eastAsia" w:ascii="仿宋_GB2312" w:hAnsi="仿宋_GB2312" w:eastAsia="仿宋_GB2312"/>
          <w:sz w:val="30"/>
          <w:szCs w:val="30"/>
          <w:lang w:eastAsia="zh-CN"/>
        </w:rPr>
        <w:t>LR1-杠杆率监管项目与相关会计项目的差异</w:t>
      </w:r>
    </w:p>
    <w:p>
      <w:pPr>
        <w:pStyle w:val="2"/>
        <w:ind w:firstLine="4620" w:firstLineChars="21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w:t>
      </w:r>
    </w:p>
    <w:tbl>
      <w:tblPr>
        <w:tblStyle w:val="8"/>
        <w:tblW w:w="5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9"/>
        <w:gridCol w:w="2528"/>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3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color w:val="000000"/>
                <w:sz w:val="18"/>
                <w:szCs w:val="18"/>
                <w:u w:val="none"/>
              </w:rPr>
            </w:pPr>
            <w:r>
              <w:rPr>
                <w:rFonts w:hint="default" w:ascii="华文细黑" w:hAnsi="华文细黑" w:eastAsia="华文细黑" w:cs="华文细黑"/>
                <w:i w:val="0"/>
                <w:color w:val="000000"/>
                <w:kern w:val="0"/>
                <w:sz w:val="18"/>
                <w:szCs w:val="18"/>
                <w:u w:val="none"/>
                <w:lang w:val="en-US" w:eastAsia="zh-CN" w:bidi="ar"/>
              </w:rPr>
              <w:t>杠杆率监管项目与相关会计项目的差异</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并表总资产</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509,919,998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并表调整项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客户资产调整项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衍生工具调整项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24,620,955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证券融资交易调整项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表外项目调整项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26,012,708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资产证券化交易调整项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未结算金融资产调整项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现金池调整项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存款准备金调整项（如有）</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审慎估值和减值准备调整项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其他调整项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-1,674,618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13</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调整后表内外资产余额</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558,879,043 </w:t>
            </w:r>
          </w:p>
        </w:tc>
      </w:tr>
    </w:tbl>
    <w:p>
      <w:pPr>
        <w:pStyle w:val="2"/>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（二）杠杆率</w:t>
      </w:r>
    </w:p>
    <w:p>
      <w:pPr>
        <w:pStyle w:val="2"/>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截至</w:t>
      </w:r>
      <w:r>
        <w:rPr>
          <w:rFonts w:hint="eastAsia" w:ascii="仿宋_GB2312" w:hAnsi="仿宋_GB2312" w:eastAsia="仿宋_GB2312"/>
          <w:sz w:val="32"/>
          <w:szCs w:val="32"/>
          <w:lang w:val="en-US" w:eastAsia="zh-CN"/>
        </w:rPr>
        <w:t>2025</w:t>
      </w:r>
      <w:r>
        <w:rPr>
          <w:rFonts w:hint="eastAsia" w:ascii="仿宋_GB2312" w:hAnsi="仿宋_GB2312" w:eastAsia="仿宋_GB2312"/>
          <w:sz w:val="32"/>
          <w:szCs w:val="32"/>
          <w:lang w:eastAsia="zh-CN"/>
        </w:rPr>
        <w:t>年</w:t>
      </w:r>
      <w:r>
        <w:rPr>
          <w:rFonts w:hint="eastAsia" w:ascii="仿宋_GB2312" w:hAnsi="仿宋_GB2312" w:eastAsia="仿宋_GB2312"/>
          <w:sz w:val="32"/>
          <w:szCs w:val="32"/>
          <w:lang w:val="en-US" w:eastAsia="zh-CN"/>
        </w:rPr>
        <w:t>9月</w:t>
      </w:r>
      <w:r>
        <w:rPr>
          <w:rFonts w:hint="eastAsia" w:ascii="仿宋_GB2312" w:hAnsi="仿宋_GB2312" w:eastAsia="仿宋_GB2312"/>
          <w:sz w:val="32"/>
          <w:szCs w:val="32"/>
          <w:lang w:eastAsia="zh-CN"/>
        </w:rPr>
        <w:t>末，本行杠杆率为</w:t>
      </w:r>
      <w:r>
        <w:rPr>
          <w:rFonts w:hint="eastAsia" w:ascii="仿宋_GB2312" w:hAnsi="仿宋_GB2312" w:eastAsia="仿宋_GB2312"/>
          <w:sz w:val="32"/>
          <w:szCs w:val="32"/>
          <w:lang w:val="en-US" w:eastAsia="zh-CN"/>
        </w:rPr>
        <w:t>8.14</w:t>
      </w:r>
      <w:r>
        <w:rPr>
          <w:rFonts w:hint="eastAsia" w:ascii="仿宋_GB2312" w:hAnsi="仿宋_GB2312" w:eastAsia="仿宋_GB2312"/>
          <w:sz w:val="32"/>
          <w:szCs w:val="32"/>
          <w:lang w:eastAsia="zh-CN"/>
        </w:rPr>
        <w:t>%，满足监管不低于4%的要求。具体杠杆率情况如下表：</w:t>
      </w:r>
    </w:p>
    <w:p>
      <w:pPr>
        <w:pStyle w:val="2"/>
        <w:ind w:firstLine="0" w:firstLineChars="0"/>
        <w:jc w:val="center"/>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表</w:t>
      </w:r>
      <w:r>
        <w:rPr>
          <w:rFonts w:hint="eastAsia" w:ascii="仿宋_GB2312" w:hAnsi="仿宋_GB2312" w:eastAsia="仿宋_GB2312"/>
          <w:sz w:val="32"/>
          <w:szCs w:val="32"/>
          <w:lang w:val="en-US" w:eastAsia="zh-CN"/>
        </w:rPr>
        <w:t xml:space="preserve">4 </w:t>
      </w:r>
      <w:r>
        <w:rPr>
          <w:rFonts w:hint="eastAsia" w:ascii="仿宋_GB2312" w:hAnsi="仿宋_GB2312" w:eastAsia="仿宋_GB2312"/>
          <w:sz w:val="32"/>
          <w:szCs w:val="32"/>
          <w:lang w:eastAsia="zh-CN"/>
        </w:rPr>
        <w:t>LR2-杠杆率</w:t>
      </w:r>
    </w:p>
    <w:p>
      <w:pPr>
        <w:pStyle w:val="2"/>
        <w:ind w:firstLine="4620" w:firstLineChars="2100"/>
        <w:rPr>
          <w:rFonts w:hint="eastAsia" w:ascii="仿宋_GB2312" w:hAnsi="仿宋_GB2312" w:eastAsia="仿宋_GB2312"/>
          <w:sz w:val="22"/>
          <w:szCs w:val="22"/>
          <w:lang w:eastAsia="zh-CN"/>
        </w:rPr>
      </w:pPr>
      <w:r>
        <w:rPr>
          <w:rFonts w:hint="eastAsia" w:ascii="仿宋_GB2312" w:hAnsi="仿宋_GB2312" w:eastAsia="仿宋_GB2312"/>
          <w:sz w:val="22"/>
          <w:szCs w:val="22"/>
          <w:lang w:eastAsia="zh-CN"/>
        </w:rPr>
        <w:t>单位：人民币千元（百分比除外）</w:t>
      </w:r>
    </w:p>
    <w:tbl>
      <w:tblPr>
        <w:tblStyle w:val="8"/>
        <w:tblW w:w="7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4"/>
        <w:gridCol w:w="3193"/>
        <w:gridCol w:w="1825"/>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4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40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2025年9月30日</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578" w:type="dxa"/>
            <w:gridSpan w:val="4"/>
            <w:tcBorders>
              <w:lef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表内资产余额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表内资产（除衍生工具和证券融资交易外）</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517,685,192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512,933,819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减：减值准备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-12,351,747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-12,953,579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减：一级资本扣除项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-1,674,618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-1,792,454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调整后的表内资产余额（衍生工具和证券融资交易除外）</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503,658,827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498,187,785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578"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衍生工具资产余额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各类衍生工具的重置成本（扣除合格保证金，考虑双边净额结算协议的影响）</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604,794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476,081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各类衍生工具的潜在风险暴露</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24,620,955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26,222,435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已从资产负债表中扣除的抵质押品总和</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减：因提供合格保证金形成的应收资产</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减：为客户提供清算服务时与中央交易对手交易形成的衍生工具资产余额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10</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卖出信用衍生工具的名义本金</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减：可扣除的卖出信用衍生工具资产余额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衍生工具资产余额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25,225,749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26,698,516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578"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证券融资交易资产余额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证券融资交易的会计资产余额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3,981,759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4,789,546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减：可以扣除的证券融资交易资产余额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证券融资交易的交易对手信用风险暴露</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代理证券融资交易形成的证券融资交易资产余额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证券融资交易资产余额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3,981,759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4,789,546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578"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表外项目余额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表外项目余额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49,746,276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35,802,787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19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减：因信用转换调整的表外项目余额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-23,456,948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-15,307,604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20</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减：减值准备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-276,620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-334,831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调整后的表外项目余额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26,012,708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20,160,351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578"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一级资本净额和调整后表内外资产余额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一级资本净额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45,515,576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39,968,675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调整后表内外资产余额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558,879,043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549,836,198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578"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left"/>
              <w:textAlignment w:val="bottom"/>
              <w:rPr>
                <w:rFonts w:hint="default" w:ascii="华文细黑" w:hAnsi="华文细黑" w:eastAsia="华文细黑" w:cs="华文细黑"/>
                <w:b/>
                <w:i w:val="0"/>
                <w:color w:val="000000"/>
                <w:sz w:val="18"/>
                <w:szCs w:val="18"/>
                <w:u w:val="none"/>
              </w:rPr>
            </w:pPr>
            <w:r>
              <w:rPr>
                <w:rFonts w:hint="eastAsia" w:ascii="华文细黑" w:hAnsi="华文细黑" w:eastAsia="华文细黑" w:cs="华文细黑"/>
                <w:b/>
                <w:bCs/>
                <w:i w:val="0"/>
                <w:iCs w:val="0"/>
                <w:color w:val="000000"/>
                <w:kern w:val="0"/>
                <w:sz w:val="18"/>
                <w:szCs w:val="18"/>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8.14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24a</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杠杆率a（%）</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8.14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25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最低杠杆率要求（%）</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4.00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color w:val="000000"/>
                <w:sz w:val="18"/>
                <w:szCs w:val="18"/>
                <w:u w:val="none"/>
              </w:rPr>
            </w:pPr>
            <w:r>
              <w:rPr>
                <w:rFonts w:hint="eastAsia" w:ascii="华文细黑" w:hAnsi="华文细黑" w:eastAsia="华文细黑" w:cs="华文细黑"/>
                <w:i w:val="0"/>
                <w:iCs w:val="0"/>
                <w:color w:val="000000"/>
                <w:kern w:val="0"/>
                <w:sz w:val="18"/>
                <w:szCs w:val="18"/>
                <w:u w:val="none"/>
                <w:lang w:val="en-US" w:eastAsia="zh-CN" w:bidi="ar"/>
              </w:rPr>
              <w:t xml:space="preserve">4.00 </w:t>
            </w:r>
          </w:p>
        </w:tc>
      </w:tr>
    </w:tbl>
    <w:p>
      <w:pPr>
        <w:pStyle w:val="2"/>
        <w:ind w:firstLine="0" w:firstLineChars="0"/>
        <w:rPr>
          <w:rFonts w:hint="eastAsia" w:ascii="仿宋_GB2312" w:hAnsi="仿宋_GB2312" w:eastAsia="仿宋_GB2312"/>
          <w:sz w:val="32"/>
          <w:szCs w:val="32"/>
          <w:lang w:eastAsia="zh-CN"/>
        </w:rPr>
      </w:pPr>
    </w:p>
    <w:p>
      <w:pPr>
        <w:pStyle w:val="2"/>
        <w:numPr>
          <w:ilvl w:val="-1"/>
          <w:numId w:val="0"/>
        </w:numPr>
        <w:ind w:left="0" w:leftChars="0" w:firstLine="640" w:firstLineChars="0"/>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1</w:t>
                          </w:r>
                          <w:r>
                            <w:rPr>
                              <w:rFonts w:hint="eastAsia" w:ascii="宋体" w:hAnsi="宋体" w:eastAsia="宋体" w:cs="宋体"/>
                              <w:sz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1</w:t>
                    </w:r>
                    <w:r>
                      <w:rPr>
                        <w:rFonts w:hint="eastAsia" w:ascii="宋体" w:hAnsi="宋体" w:eastAsia="宋体" w:cs="宋体"/>
                        <w:sz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556D"/>
    <w:rsid w:val="007062BA"/>
    <w:rsid w:val="00F24606"/>
    <w:rsid w:val="016C4A53"/>
    <w:rsid w:val="01E96C2E"/>
    <w:rsid w:val="01ED0F82"/>
    <w:rsid w:val="026754E7"/>
    <w:rsid w:val="02B44D5B"/>
    <w:rsid w:val="03ED5D4A"/>
    <w:rsid w:val="053910E8"/>
    <w:rsid w:val="058A585C"/>
    <w:rsid w:val="05EF2542"/>
    <w:rsid w:val="05F44D61"/>
    <w:rsid w:val="0711051E"/>
    <w:rsid w:val="071528C6"/>
    <w:rsid w:val="07E16B19"/>
    <w:rsid w:val="080F2845"/>
    <w:rsid w:val="086E188C"/>
    <w:rsid w:val="09AD2B86"/>
    <w:rsid w:val="0AAA770C"/>
    <w:rsid w:val="0AE96EA3"/>
    <w:rsid w:val="0BD66005"/>
    <w:rsid w:val="0C1B1D98"/>
    <w:rsid w:val="0C232E09"/>
    <w:rsid w:val="0D3270C4"/>
    <w:rsid w:val="0FDE6D14"/>
    <w:rsid w:val="12D84152"/>
    <w:rsid w:val="12E10411"/>
    <w:rsid w:val="12E87171"/>
    <w:rsid w:val="14CF06EB"/>
    <w:rsid w:val="15BF328E"/>
    <w:rsid w:val="16205875"/>
    <w:rsid w:val="16426B6B"/>
    <w:rsid w:val="170E28DF"/>
    <w:rsid w:val="173A79C1"/>
    <w:rsid w:val="17B67874"/>
    <w:rsid w:val="18177A39"/>
    <w:rsid w:val="18CD0E97"/>
    <w:rsid w:val="19194716"/>
    <w:rsid w:val="19BD2480"/>
    <w:rsid w:val="1A2C7223"/>
    <w:rsid w:val="1A671C0E"/>
    <w:rsid w:val="1BBC0A2B"/>
    <w:rsid w:val="1BDF238A"/>
    <w:rsid w:val="1C485306"/>
    <w:rsid w:val="1CE0395A"/>
    <w:rsid w:val="1D5D38F5"/>
    <w:rsid w:val="1DD27A9D"/>
    <w:rsid w:val="1DD55F02"/>
    <w:rsid w:val="1FA95A20"/>
    <w:rsid w:val="2003755A"/>
    <w:rsid w:val="205154E2"/>
    <w:rsid w:val="22936A35"/>
    <w:rsid w:val="239D567C"/>
    <w:rsid w:val="27587CCE"/>
    <w:rsid w:val="2A3F5892"/>
    <w:rsid w:val="2B234148"/>
    <w:rsid w:val="2DB5450D"/>
    <w:rsid w:val="2EB8027C"/>
    <w:rsid w:val="2F843C06"/>
    <w:rsid w:val="303C0189"/>
    <w:rsid w:val="31AF0A9C"/>
    <w:rsid w:val="322B63AC"/>
    <w:rsid w:val="33AF3C8A"/>
    <w:rsid w:val="33D52E5F"/>
    <w:rsid w:val="34B2309A"/>
    <w:rsid w:val="351229D3"/>
    <w:rsid w:val="359046E7"/>
    <w:rsid w:val="35BC1A4E"/>
    <w:rsid w:val="36676D1E"/>
    <w:rsid w:val="36E55A33"/>
    <w:rsid w:val="38C14911"/>
    <w:rsid w:val="39411FC5"/>
    <w:rsid w:val="399216B9"/>
    <w:rsid w:val="3C147E59"/>
    <w:rsid w:val="3C5D1E98"/>
    <w:rsid w:val="3E600BFE"/>
    <w:rsid w:val="3EBC4775"/>
    <w:rsid w:val="3F0C005E"/>
    <w:rsid w:val="406D0A61"/>
    <w:rsid w:val="42130178"/>
    <w:rsid w:val="4259180B"/>
    <w:rsid w:val="436308A8"/>
    <w:rsid w:val="439C01C0"/>
    <w:rsid w:val="43CE4B96"/>
    <w:rsid w:val="43DF0EA4"/>
    <w:rsid w:val="441E1DA9"/>
    <w:rsid w:val="44470118"/>
    <w:rsid w:val="46542381"/>
    <w:rsid w:val="4699601F"/>
    <w:rsid w:val="470367A6"/>
    <w:rsid w:val="47A7724D"/>
    <w:rsid w:val="485C3F80"/>
    <w:rsid w:val="487C587B"/>
    <w:rsid w:val="488471EB"/>
    <w:rsid w:val="48F12E59"/>
    <w:rsid w:val="4B8179A1"/>
    <w:rsid w:val="4BEB59AC"/>
    <w:rsid w:val="4BF607CB"/>
    <w:rsid w:val="4CEA1F77"/>
    <w:rsid w:val="4DCE208E"/>
    <w:rsid w:val="4DD967AF"/>
    <w:rsid w:val="4E603D23"/>
    <w:rsid w:val="4E846C6A"/>
    <w:rsid w:val="500A5B5B"/>
    <w:rsid w:val="502309D4"/>
    <w:rsid w:val="51FA4C31"/>
    <w:rsid w:val="52F16EFE"/>
    <w:rsid w:val="53CE7088"/>
    <w:rsid w:val="54DA6B45"/>
    <w:rsid w:val="54E84B7F"/>
    <w:rsid w:val="54EE60FB"/>
    <w:rsid w:val="550874E8"/>
    <w:rsid w:val="55164F4F"/>
    <w:rsid w:val="551B631F"/>
    <w:rsid w:val="551C7FA4"/>
    <w:rsid w:val="565718EB"/>
    <w:rsid w:val="56981DB2"/>
    <w:rsid w:val="57056C42"/>
    <w:rsid w:val="57AE6829"/>
    <w:rsid w:val="57F93FAA"/>
    <w:rsid w:val="58E32895"/>
    <w:rsid w:val="58EB165F"/>
    <w:rsid w:val="597A3322"/>
    <w:rsid w:val="59F739A7"/>
    <w:rsid w:val="5A574984"/>
    <w:rsid w:val="5A8911D8"/>
    <w:rsid w:val="5B2F7DDB"/>
    <w:rsid w:val="5BBC32C1"/>
    <w:rsid w:val="5D3F1C47"/>
    <w:rsid w:val="5E2A4BFD"/>
    <w:rsid w:val="5EAF3C67"/>
    <w:rsid w:val="5EE45F43"/>
    <w:rsid w:val="5FD15D41"/>
    <w:rsid w:val="600202BF"/>
    <w:rsid w:val="60090ED6"/>
    <w:rsid w:val="603C606C"/>
    <w:rsid w:val="60A75B62"/>
    <w:rsid w:val="61A214AE"/>
    <w:rsid w:val="636640D7"/>
    <w:rsid w:val="63E14F52"/>
    <w:rsid w:val="64693149"/>
    <w:rsid w:val="650D3C56"/>
    <w:rsid w:val="66E64526"/>
    <w:rsid w:val="66F5753F"/>
    <w:rsid w:val="67107BA4"/>
    <w:rsid w:val="696A319E"/>
    <w:rsid w:val="6A477D54"/>
    <w:rsid w:val="6B0E3EE0"/>
    <w:rsid w:val="6B3E3983"/>
    <w:rsid w:val="6B5C2B66"/>
    <w:rsid w:val="6CE32422"/>
    <w:rsid w:val="6D0D6700"/>
    <w:rsid w:val="6D317D8E"/>
    <w:rsid w:val="6E410F56"/>
    <w:rsid w:val="6E6D0EC6"/>
    <w:rsid w:val="6EB14D27"/>
    <w:rsid w:val="6ED10310"/>
    <w:rsid w:val="6F267DB4"/>
    <w:rsid w:val="6FBE1D83"/>
    <w:rsid w:val="715447E2"/>
    <w:rsid w:val="723A6DC5"/>
    <w:rsid w:val="72C401F1"/>
    <w:rsid w:val="73276867"/>
    <w:rsid w:val="73384058"/>
    <w:rsid w:val="751562E5"/>
    <w:rsid w:val="75913620"/>
    <w:rsid w:val="7611138F"/>
    <w:rsid w:val="76585514"/>
    <w:rsid w:val="78395658"/>
    <w:rsid w:val="7A777A29"/>
    <w:rsid w:val="7A882F19"/>
    <w:rsid w:val="7B946EB8"/>
    <w:rsid w:val="7BBA02FD"/>
    <w:rsid w:val="7BEA24DC"/>
    <w:rsid w:val="7E790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line="560" w:lineRule="exact"/>
      <w:ind w:firstLine="420" w:firstLineChars="200"/>
      <w:jc w:val="both"/>
    </w:pPr>
    <w:rPr>
      <w:rFonts w:ascii="Times New Roman" w:hAnsi="Times New Roman" w:eastAsia="宋体" w:cs="仿宋_GB2312"/>
      <w:kern w:val="2"/>
      <w:sz w:val="28"/>
      <w:szCs w:val="28"/>
      <w:lang w:val="en-US" w:eastAsia="zh-CN" w:bidi="ar-SA"/>
    </w:rPr>
  </w:style>
  <w:style w:type="paragraph" w:styleId="3">
    <w:name w:val="annotation text"/>
    <w:basedOn w:val="1"/>
    <w:qFormat/>
    <w:uiPriority w:val="0"/>
    <w:pPr>
      <w:jc w:val="left"/>
    </w:pPr>
  </w:style>
  <w:style w:type="paragraph" w:styleId="4">
    <w:name w:val="Body Text"/>
    <w:basedOn w:val="1"/>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customStyle="1" w:styleId="10">
    <w:name w:val="font11"/>
    <w:basedOn w:val="9"/>
    <w:qFormat/>
    <w:uiPriority w:val="0"/>
    <w:rPr>
      <w:rFonts w:hint="eastAsia" w:ascii="宋体" w:hAnsi="宋体" w:eastAsia="宋体" w:cs="宋体"/>
      <w:color w:val="000000"/>
      <w:sz w:val="18"/>
      <w:szCs w:val="18"/>
      <w:u w:val="none"/>
    </w:rPr>
  </w:style>
  <w:style w:type="character" w:customStyle="1" w:styleId="11">
    <w:name w:val="font0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QRCB-W</cp:lastModifiedBy>
  <cp:lastPrinted>2025-02-07T06:34:00Z</cp:lastPrinted>
  <dcterms:modified xsi:type="dcterms:W3CDTF">2025-10-29T01:18:14Z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1C4E799DE3D94A73A25CF043F953EF32</vt:lpwstr>
  </property>
</Properties>
</file>