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rPr>
      </w:pPr>
      <w:r>
        <w:rPr>
          <w:rFonts w:hint="eastAsia" w:ascii="宋体" w:hAnsi="宋体" w:cs="宋体"/>
        </w:rPr>
        <w:t>幸福99金钱包</w:t>
      </w:r>
      <w:r>
        <w:rPr>
          <w:rFonts w:hint="eastAsia" w:ascii="宋体" w:hAnsi="宋体" w:cs="宋体"/>
          <w:lang w:eastAsia="zh-CN"/>
        </w:rPr>
        <w:t>55号</w:t>
      </w:r>
      <w:r>
        <w:rPr>
          <w:rFonts w:hint="eastAsia" w:ascii="宋体" w:hAnsi="宋体" w:cs="宋体"/>
        </w:rPr>
        <w:t>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rPr>
      </w:pPr>
      <w:r>
        <w:rPr>
          <w:rFonts w:hint="eastAsia" w:ascii="宋体" w:hAnsi="宋体" w:cs="宋体"/>
        </w:rPr>
        <w:t>尊敬的理财投资者：</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ind w:firstLine="480" w:firstLineChars="200"/>
        <w:jc w:val="left"/>
        <w:rPr>
          <w:rFonts w:hint="eastAsia" w:ascii="宋体" w:hAnsi="宋体" w:cs="宋体"/>
          <w:b/>
        </w:rPr>
      </w:pPr>
      <w:r>
        <w:rPr>
          <w:rFonts w:hint="eastAsia" w:ascii="宋体" w:hAnsi="宋体" w:cs="宋体"/>
          <w:bCs/>
        </w:rPr>
        <w:t>根据国家金融监督管理总局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Cs/>
          <w:sz w:val="28"/>
          <w:szCs w:val="28"/>
        </w:rPr>
        <w:t>，</w:t>
      </w:r>
      <w:r>
        <w:rPr>
          <w:rFonts w:hint="eastAsia" w:ascii="宋体" w:hAnsi="宋体" w:cs="宋体"/>
          <w:b/>
        </w:rPr>
        <w:t>若通过电子渠道购买的，成功交易后视同为投资者与管理人已完成理财计划交易合同的签订</w:t>
      </w:r>
      <w:r>
        <w:rPr>
          <w:rFonts w:hint="eastAsia" w:ascii="宋体" w:hAnsi="宋体" w:cs="宋体"/>
          <w:bCs/>
        </w:rPr>
        <w:t>），了解理财计划相关具体情况，并确保已评估自身的风险承受能力和理财计划相关风险后，谨慎投资。</w:t>
      </w:r>
      <w:r>
        <w:rPr>
          <w:rFonts w:hint="eastAsia" w:ascii="宋体" w:hAnsi="宋体" w:cs="宋体"/>
          <w:b/>
        </w:rPr>
        <w:t>如影响您风险承受能力的因素发生变化，请及时更新风险承受能力评估。</w:t>
      </w:r>
    </w:p>
    <w:p>
      <w:pPr>
        <w:spacing w:line="360" w:lineRule="auto"/>
        <w:ind w:firstLine="480" w:firstLineChars="200"/>
        <w:jc w:val="left"/>
        <w:rPr>
          <w:rFonts w:hint="eastAsia" w:ascii="宋体" w:hAnsi="宋体" w:cs="宋体"/>
          <w:bCs/>
        </w:rPr>
      </w:pPr>
      <w:r>
        <w:rPr>
          <w:rFonts w:hint="eastAsia" w:ascii="宋体" w:hAnsi="宋体" w:cs="宋体"/>
          <w:bCs/>
        </w:rPr>
        <w:t>请您根据自身理财目标、投资经验、财务状况、风险承受能力以及其他相关情况慎重购买理财计划。本风险揭示书列示的可能涉及的风险包括但不限于：</w:t>
      </w:r>
    </w:p>
    <w:p>
      <w:pPr>
        <w:pStyle w:val="3"/>
        <w:numPr>
          <w:ilvl w:val="0"/>
          <w:numId w:val="1"/>
        </w:numPr>
        <w:spacing w:line="360" w:lineRule="auto"/>
        <w:ind w:firstLine="482" w:firstLineChars="200"/>
        <w:rPr>
          <w:rFonts w:hint="eastAsia"/>
        </w:rPr>
      </w:pPr>
      <w:r>
        <w:rPr>
          <w:rFonts w:hint="eastAsia"/>
        </w:rPr>
        <w:t>理财计划共性风险</w:t>
      </w:r>
    </w:p>
    <w:p>
      <w:pPr>
        <w:pStyle w:val="4"/>
        <w:numPr>
          <w:ilvl w:val="0"/>
          <w:numId w:val="2"/>
        </w:numPr>
        <w:ind w:firstLine="482" w:firstLineChars="200"/>
      </w:pPr>
      <w:r>
        <w:rPr>
          <w:rStyle w:val="20"/>
          <w:rFonts w:hint="eastAsia"/>
          <w:b/>
        </w:rPr>
        <w:t>信用风险：</w:t>
      </w:r>
      <w:r>
        <w:rPr>
          <w:rFonts w:hint="eastAsia"/>
        </w:rPr>
        <w:t>理财计划所投资产的相关义务人信用状况恶化，出现信用违约情形，则理财计划本金或收益蒙受部分或全部损失的风险。</w:t>
      </w:r>
    </w:p>
    <w:p>
      <w:pPr>
        <w:pStyle w:val="4"/>
        <w:numPr>
          <w:ilvl w:val="0"/>
          <w:numId w:val="2"/>
        </w:numPr>
        <w:ind w:firstLine="482" w:firstLineChars="200"/>
        <w:rPr>
          <w:rFonts w:hint="eastAsia"/>
        </w:rPr>
      </w:pPr>
      <w:r>
        <w:rPr>
          <w:rFonts w:hint="eastAsia"/>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rPr>
          <w:rFonts w:ascii="宋体" w:hAnsi="宋体" w:cs="宋体"/>
          <w:b/>
        </w:rPr>
      </w:pPr>
      <w:r>
        <w:rPr>
          <w:rFonts w:hint="eastAsia" w:ascii="宋体" w:hAnsi="宋体" w:cs="宋体"/>
          <w:b/>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购买力风险：如发生通货膨胀，则所投资产的收益可能会被通货膨胀抵消，从而对理财计划收益的实际购买力产生影响。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利率风险：金融市场利率波动会导致证券市场价格和收益率波动，从而对理财计划收益产生影响。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汇率风险：理财计划如投资涉及非本国货币，则外汇市场可能会出现汇率波动，从而对理财计划收益产生影响。</w:t>
      </w:r>
    </w:p>
    <w:p>
      <w:pPr>
        <w:pStyle w:val="4"/>
        <w:numPr>
          <w:ilvl w:val="0"/>
          <w:numId w:val="4"/>
        </w:numPr>
        <w:ind w:firstLine="482" w:firstLineChars="200"/>
      </w:pPr>
      <w:r>
        <w:rPr>
          <w:rFonts w:hint="eastAsia"/>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ind w:firstLine="482" w:firstLineChars="200"/>
      </w:pPr>
      <w:r>
        <w:rPr>
          <w:rFonts w:hint="eastAsia"/>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ind w:firstLine="482" w:firstLineChars="200"/>
      </w:pPr>
      <w:r>
        <w:rPr>
          <w:rFonts w:hint="eastAsia"/>
        </w:rPr>
        <w:t>操作风险：理财计划由于内部作业、人员管理、系统操作、交易对手交易处理不当或失误等，导致理财计划本金或收益蒙受部分或全部损失的风险。</w:t>
      </w:r>
    </w:p>
    <w:p>
      <w:pPr>
        <w:pStyle w:val="4"/>
        <w:numPr>
          <w:ilvl w:val="0"/>
          <w:numId w:val="4"/>
        </w:numPr>
        <w:ind w:firstLine="482" w:firstLineChars="200"/>
      </w:pPr>
      <w:r>
        <w:rPr>
          <w:rFonts w:hint="eastAsia"/>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ind w:firstLine="482" w:firstLineChars="200"/>
      </w:pPr>
      <w:r>
        <w:rPr>
          <w:rFonts w:hint="eastAsia"/>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ind w:firstLine="482" w:firstLineChars="200"/>
      </w:pPr>
      <w:r>
        <w:rPr>
          <w:rFonts w:hint="eastAsia"/>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ind w:firstLine="482" w:firstLineChars="200"/>
      </w:pPr>
      <w:r>
        <w:rPr>
          <w:rFonts w:hint="eastAsia"/>
        </w:rPr>
        <w:t>提前</w:t>
      </w:r>
      <w:r>
        <w:rPr>
          <w:rFonts w:hint="eastAsia" w:ascii="宋体" w:hAnsi="宋体" w:cs="宋体"/>
        </w:rPr>
        <w:t>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ind w:firstLine="482" w:firstLineChars="200"/>
        <w:jc w:val="left"/>
        <w:outlineLvl w:val="2"/>
        <w:rPr>
          <w:rFonts w:hint="eastAsia"/>
          <w:b/>
        </w:rPr>
      </w:pPr>
      <w:r>
        <w:rPr>
          <w:rStyle w:val="19"/>
          <w:rFonts w:hint="eastAsia"/>
        </w:rPr>
        <w:t>信息传递风险：</w:t>
      </w:r>
      <w:r>
        <w:rPr>
          <w:rFonts w:hint="eastAsia"/>
          <w:b/>
          <w:bCs/>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pPr>
      <w:r>
        <w:rPr>
          <w:rFonts w:hint="eastAsia"/>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代销风险：本理财计划通过代销渠道销售，投资者认/申购理财计划的资金由销售机构从投资者资金账户扣收；理财计划到期/赎回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rPr>
      </w:pPr>
      <w:r>
        <w:rPr>
          <w:rFonts w:ascii="宋体" w:hAnsi="宋体" w:cs="宋体"/>
          <w:b/>
        </w:rPr>
        <w:t>关联关系风险：本理财</w:t>
      </w:r>
      <w:r>
        <w:rPr>
          <w:rFonts w:hint="eastAsia" w:ascii="宋体" w:hAnsi="宋体" w:cs="宋体"/>
          <w:b/>
        </w:rPr>
        <w:t>计划</w:t>
      </w:r>
      <w:r>
        <w:rPr>
          <w:rFonts w:ascii="宋体" w:hAnsi="宋体" w:cs="宋体"/>
          <w:b/>
        </w:rPr>
        <w:t>销售机构</w:t>
      </w:r>
      <w:r>
        <w:rPr>
          <w:rFonts w:hint="eastAsia" w:ascii="宋体" w:hAnsi="宋体" w:cs="宋体"/>
          <w:b/>
        </w:rPr>
        <w:t>之一</w:t>
      </w:r>
      <w:r>
        <w:rPr>
          <w:rFonts w:ascii="宋体" w:hAnsi="宋体" w:cs="宋体"/>
          <w:b/>
        </w:rPr>
        <w:t>为杭州银行股份有限公司，杭银理财系杭州银行全资子公司，双方存在关联关系。杭州银行作为本理财</w:t>
      </w:r>
      <w:r>
        <w:rPr>
          <w:rFonts w:hint="eastAsia" w:ascii="宋体" w:hAnsi="宋体" w:cs="宋体"/>
          <w:b/>
        </w:rPr>
        <w:t>计划</w:t>
      </w:r>
      <w:r>
        <w:rPr>
          <w:rFonts w:ascii="宋体" w:hAnsi="宋体" w:cs="宋体"/>
          <w:b/>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rPr>
        <w:t>理财计划</w:t>
      </w:r>
      <w:r>
        <w:rPr>
          <w:rFonts w:ascii="宋体" w:hAnsi="宋体" w:cs="宋体"/>
          <w:b/>
        </w:rPr>
        <w:t>收益，不承担</w:t>
      </w:r>
      <w:r>
        <w:rPr>
          <w:rFonts w:hint="eastAsia" w:ascii="宋体" w:hAnsi="宋体" w:cs="宋体"/>
          <w:b/>
        </w:rPr>
        <w:t>理财计划</w:t>
      </w:r>
      <w:r>
        <w:rPr>
          <w:rFonts w:ascii="宋体" w:hAnsi="宋体" w:cs="宋体"/>
          <w:b/>
        </w:rPr>
        <w:t>的投资、兑付和风险管理责任。</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理财计划特定风险</w:t>
      </w:r>
    </w:p>
    <w:p>
      <w:pPr>
        <w:spacing w:line="360" w:lineRule="auto"/>
        <w:ind w:firstLine="482" w:firstLineChars="200"/>
        <w:jc w:val="left"/>
        <w:rPr>
          <w:rFonts w:hint="eastAsia" w:ascii="宋体" w:hAnsi="宋体" w:cs="宋体"/>
          <w:b/>
        </w:rPr>
      </w:pPr>
      <w:r>
        <w:rPr>
          <w:rFonts w:hint="eastAsia" w:ascii="宋体" w:hAnsi="宋体" w:cs="宋体"/>
          <w:b/>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ind w:firstLine="482" w:firstLineChars="200"/>
        <w:jc w:val="left"/>
        <w:rPr>
          <w:rFonts w:ascii="宋体" w:hAnsi="宋体" w:cs="宋体"/>
          <w:b/>
        </w:rPr>
      </w:pPr>
      <w:r>
        <w:rPr>
          <w:rFonts w:hint="eastAsia" w:ascii="宋体" w:hAnsi="宋体" w:cs="宋体"/>
          <w:b/>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其他信息提示</w:t>
      </w:r>
    </w:p>
    <w:p>
      <w:pPr>
        <w:spacing w:line="360" w:lineRule="auto"/>
        <w:ind w:firstLine="480" w:firstLineChars="200"/>
        <w:jc w:val="left"/>
        <w:rPr>
          <w:rFonts w:ascii="宋体" w:hAnsi="宋体" w:cs="宋体"/>
          <w:b/>
        </w:rPr>
      </w:pPr>
      <w:r>
        <w:rPr>
          <w:rFonts w:hint="eastAsia" w:ascii="宋体" w:hAnsi="宋体" w:cs="宋体"/>
          <w:bCs/>
        </w:rPr>
        <w:t>根据现有法律法规及金融监管机构对于理财产品的相关分类，投资者还需了解以下信息：</w:t>
      </w:r>
    </w:p>
    <w:p>
      <w:pPr>
        <w:numPr>
          <w:ilvl w:val="0"/>
          <w:numId w:val="5"/>
        </w:numPr>
        <w:spacing w:line="360" w:lineRule="auto"/>
        <w:ind w:firstLine="482" w:firstLineChars="200"/>
        <w:jc w:val="left"/>
        <w:outlineLvl w:val="2"/>
        <w:rPr>
          <w:rFonts w:hint="eastAsia" w:ascii="宋体" w:hAnsi="宋体" w:cs="宋体"/>
          <w:bCs/>
        </w:rPr>
      </w:pPr>
      <w:r>
        <w:rPr>
          <w:rFonts w:hint="eastAsia" w:ascii="宋体" w:hAnsi="宋体" w:cs="宋体"/>
          <w:b/>
        </w:rPr>
        <w:t>根据募集方式的不同，理财产品分为公募理财产品和私募理财产品。</w:t>
      </w:r>
      <w:r>
        <w:rPr>
          <w:rFonts w:hint="eastAsia" w:ascii="宋体" w:hAnsi="宋体" w:cs="宋体"/>
          <w:bCs/>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ind w:firstLine="480" w:firstLineChars="200"/>
        <w:jc w:val="left"/>
        <w:rPr>
          <w:rFonts w:hint="eastAsia" w:ascii="宋体" w:hAnsi="宋体" w:cs="宋体"/>
          <w:bCs/>
        </w:rPr>
      </w:pPr>
      <w:r>
        <w:rPr>
          <w:rFonts w:hint="eastAsia" w:ascii="宋体" w:hAnsi="宋体" w:cs="宋体"/>
          <w:bCs/>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ind w:firstLine="480" w:firstLineChars="200"/>
        <w:jc w:val="left"/>
        <w:rPr>
          <w:rFonts w:hint="eastAsia" w:ascii="宋体" w:hAnsi="宋体" w:cs="宋体"/>
          <w:bCs/>
        </w:rPr>
      </w:pPr>
      <w:r>
        <w:rPr>
          <w:rFonts w:hint="eastAsia" w:ascii="宋体" w:hAnsi="宋体" w:cs="宋体"/>
          <w:bCs/>
        </w:rPr>
        <w:t>最近1年末净资产不低于1000万元人民币的法人或者依法成立的其他组织；</w:t>
      </w:r>
    </w:p>
    <w:p>
      <w:pPr>
        <w:numPr>
          <w:ilvl w:val="0"/>
          <w:numId w:val="6"/>
        </w:numPr>
        <w:spacing w:line="360" w:lineRule="auto"/>
        <w:ind w:firstLine="480" w:firstLineChars="200"/>
        <w:jc w:val="left"/>
        <w:rPr>
          <w:rFonts w:hint="eastAsia" w:ascii="宋体" w:hAnsi="宋体" w:cs="宋体"/>
          <w:bCs/>
        </w:rPr>
      </w:pPr>
      <w:r>
        <w:rPr>
          <w:rFonts w:hint="eastAsia" w:ascii="宋体" w:hAnsi="宋体" w:cs="宋体"/>
          <w:bCs/>
        </w:rPr>
        <w:t>国务院银行业监督管理机构规定的其他情形。</w:t>
      </w:r>
    </w:p>
    <w:p>
      <w:pPr>
        <w:numPr>
          <w:ilvl w:val="0"/>
          <w:numId w:val="7"/>
        </w:numPr>
        <w:spacing w:line="360" w:lineRule="auto"/>
        <w:ind w:firstLine="482" w:firstLineChars="200"/>
        <w:jc w:val="left"/>
        <w:outlineLvl w:val="2"/>
        <w:rPr>
          <w:rFonts w:hint="eastAsia" w:ascii="宋体" w:hAnsi="宋体" w:cs="宋体"/>
          <w:bCs/>
        </w:rPr>
      </w:pPr>
      <w:r>
        <w:rPr>
          <w:rFonts w:hint="eastAsia" w:ascii="宋体" w:hAnsi="宋体" w:cs="宋体"/>
          <w:b/>
        </w:rPr>
        <w:t>根据投资性质的不同，理财产品分为固定收益类理财产品、权益类理财产品、商品及金融衍生品类理财产品和混合类理财产品。</w:t>
      </w:r>
      <w:r>
        <w:rPr>
          <w:rFonts w:hint="eastAsia" w:ascii="宋体" w:hAnsi="宋体" w:cs="宋体"/>
          <w:bCs/>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ind w:firstLine="482" w:firstLineChars="200"/>
        <w:jc w:val="left"/>
        <w:outlineLvl w:val="2"/>
        <w:rPr>
          <w:rFonts w:hint="eastAsia" w:ascii="宋体" w:hAnsi="宋体" w:cs="宋体"/>
          <w:bCs/>
        </w:rPr>
      </w:pPr>
      <w:r>
        <w:rPr>
          <w:rFonts w:hint="eastAsia" w:ascii="宋体" w:hAnsi="宋体" w:cs="宋体"/>
          <w:b/>
        </w:rPr>
        <w:t>根据运作方式的不同，将理财产品分为封闭式理财产品和开放式理财产品。</w:t>
      </w:r>
      <w:r>
        <w:rPr>
          <w:rFonts w:hint="eastAsia" w:ascii="宋体" w:hAnsi="宋体" w:cs="宋体"/>
          <w:bCs/>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rPr>
      </w:pPr>
      <w:r>
        <w:rPr>
          <w:rFonts w:hint="eastAsia" w:ascii="宋体" w:hAnsi="宋体" w:cs="宋体"/>
          <w:b/>
        </w:rPr>
        <w:t>本理财计划为公募、开放式、〖固定收益类〗净值型理财计划，〖无固定期限〗，不保证本金与收益。根据本公司理财产品内部风险评级，该理财计划风险评级结果为〖R1〗,〖低〗风险</w:t>
      </w:r>
      <w:r>
        <w:rPr>
          <w:rFonts w:hint="eastAsia" w:ascii="宋体" w:hAnsi="宋体" w:cs="宋体"/>
          <w:bCs/>
        </w:rPr>
        <w:t>（本风险等级为我公司内部风险评级结果，仅供参考，理财计划通过代理销售机构渠道销售的，理财计划风险评级应当以代理销售机构最终披露的评级结果为准），</w:t>
      </w:r>
      <w:r>
        <w:rPr>
          <w:rFonts w:hint="eastAsia" w:ascii="宋体" w:hAnsi="宋体" w:cs="宋体"/>
          <w:b/>
        </w:rPr>
        <w:t>总体风险〖程度低，收益波动小，管理人不承诺本金保障〗。</w:t>
      </w:r>
    </w:p>
    <w:p>
      <w:pPr>
        <w:spacing w:line="360" w:lineRule="auto"/>
        <w:ind w:firstLine="482" w:firstLineChars="200"/>
        <w:jc w:val="left"/>
        <w:rPr>
          <w:rFonts w:hint="eastAsia" w:ascii="宋体" w:hAnsi="宋体" w:cs="宋体"/>
          <w:bCs/>
        </w:rPr>
      </w:pPr>
      <w:r>
        <w:rPr>
          <w:rFonts w:hint="eastAsia" w:ascii="宋体" w:hAnsi="宋体" w:cs="宋体"/>
          <w:b/>
        </w:rPr>
        <w:t>本理财计划适合〖机构投资者〗以及〖保守型、稳健型、平衡型、成长型、进取型〗的个人投资者，个人投资者的风险承受能力评估以销售机构为准。</w:t>
      </w:r>
      <w:r>
        <w:rPr>
          <w:rFonts w:hint="eastAsia" w:ascii="宋体" w:hAnsi="宋体" w:cs="宋体"/>
          <w:bCs/>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rPr>
      </w:pPr>
      <w:r>
        <w:rPr>
          <w:rFonts w:hint="eastAsia" w:ascii="宋体" w:hAnsi="宋体" w:cs="宋体"/>
          <w:bCs/>
        </w:rPr>
        <w:t>上述风险客观存在，敬请投资者予以充分关注！</w:t>
      </w:r>
    </w:p>
    <w:p>
      <w:pPr>
        <w:spacing w:line="360" w:lineRule="auto"/>
        <w:ind w:firstLine="480" w:firstLineChars="200"/>
        <w:jc w:val="right"/>
        <w:rPr>
          <w:rFonts w:hint="eastAsia" w:ascii="宋体" w:hAnsi="宋体" w:cs="宋体"/>
          <w:bCs/>
        </w:rPr>
      </w:pPr>
    </w:p>
    <w:p>
      <w:pPr>
        <w:spacing w:line="360" w:lineRule="auto"/>
        <w:ind w:firstLine="480" w:firstLineChars="200"/>
        <w:jc w:val="left"/>
        <w:rPr>
          <w:rFonts w:hint="eastAsia" w:ascii="宋体" w:hAnsi="宋体" w:cs="宋体"/>
          <w:bCs/>
        </w:rPr>
      </w:pPr>
      <w:r>
        <w:rPr>
          <w:rFonts w:hint="eastAsia" w:ascii="宋体" w:hAnsi="宋体" w:cs="宋体"/>
          <w:bCs/>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rPr>
      </w:pP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r>
        <w:rPr>
          <w:rFonts w:hint="eastAsia" w:ascii="宋体" w:hAnsi="宋体" w:cs="宋体"/>
          <w:bCs/>
        </w:rPr>
        <w:t>风险提示方：杭银理财有限责任公司</w:t>
      </w: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p>
    <w:p>
      <w:pPr>
        <w:pStyle w:val="17"/>
        <w:spacing w:line="360" w:lineRule="auto"/>
        <w:jc w:val="both"/>
        <w:rPr>
          <w:rFonts w:hint="eastAsia" w:ascii="宋体" w:hAnsi="宋体" w:cs="宋体"/>
          <w:b/>
          <w:color w:val="auto"/>
        </w:rPr>
      </w:pPr>
    </w:p>
    <w:p>
      <w:pPr>
        <w:pStyle w:val="17"/>
        <w:spacing w:line="360" w:lineRule="auto"/>
        <w:jc w:val="both"/>
        <w:rPr>
          <w:rFonts w:hint="eastAsia" w:ascii="宋体" w:hAnsi="宋体" w:cs="宋体"/>
          <w:b/>
          <w:color w:val="auto"/>
        </w:rPr>
      </w:pPr>
      <w:r>
        <w:rPr>
          <w:rFonts w:ascii="宋体" w:hAnsi="宋体" w:cs="宋体"/>
          <w:b/>
          <w:color w:val="auto"/>
        </w:rPr>
        <w:br w:type="page"/>
      </w:r>
    </w:p>
    <w:p>
      <w:pPr>
        <w:pStyle w:val="17"/>
        <w:spacing w:line="360" w:lineRule="auto"/>
        <w:ind w:firstLine="482" w:firstLineChars="200"/>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17"/>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7"/>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spacing w:line="360" w:lineRule="auto"/>
        <w:rPr>
          <w:rFonts w:hint="eastAsia" w:ascii="宋体" w:hAnsi="宋体" w:cs="宋体"/>
          <w:kern w:val="0"/>
        </w:rPr>
      </w:pPr>
    </w:p>
    <w:p>
      <w:pPr>
        <w:spacing w:line="360" w:lineRule="auto"/>
        <w:rPr>
          <w:rFonts w:hint="eastAsia" w:ascii="宋体" w:hAnsi="宋体" w:cs="宋体"/>
          <w:kern w:val="0"/>
        </w:rPr>
      </w:pPr>
      <w:r>
        <w:rPr>
          <w:rFonts w:hint="eastAsia" w:ascii="宋体" w:hAnsi="宋体" w:cs="宋体"/>
          <w:kern w:val="0"/>
        </w:rPr>
        <w:t>确认人（签字）：</w:t>
      </w:r>
      <w:r>
        <w:rPr>
          <w:rFonts w:hint="eastAsia" w:ascii="宋体" w:hAnsi="宋体" w:cs="宋体"/>
          <w:kern w:val="0"/>
          <w:u w:val="single"/>
        </w:rPr>
        <w:t xml:space="preserve">                    </w:t>
      </w: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r>
        <w:rPr>
          <w:rFonts w:hint="eastAsia" w:ascii="宋体" w:hAnsi="宋体" w:cs="宋体"/>
          <w:color w:val="auto"/>
        </w:rPr>
        <w:t>日期：</w:t>
      </w:r>
      <w:r>
        <w:rPr>
          <w:rFonts w:hint="eastAsia" w:ascii="宋体" w:hAnsi="宋体" w:cs="宋体"/>
          <w:u w:val="single"/>
        </w:rPr>
        <w:t xml:space="preserve">      </w:t>
      </w:r>
      <w:r>
        <w:rPr>
          <w:rFonts w:hint="eastAsia" w:ascii="宋体" w:hAnsi="宋体" w:cs="宋体"/>
          <w:color w:val="auto"/>
        </w:rPr>
        <w:t>年</w:t>
      </w:r>
      <w:r>
        <w:rPr>
          <w:rFonts w:hint="eastAsia" w:ascii="宋体" w:hAnsi="宋体" w:cs="宋体"/>
          <w:u w:val="single"/>
        </w:rPr>
        <w:t xml:space="preserve">    </w:t>
      </w:r>
      <w:r>
        <w:rPr>
          <w:rFonts w:hint="eastAsia" w:ascii="宋体" w:hAnsi="宋体" w:cs="宋体"/>
          <w:color w:val="auto"/>
        </w:rPr>
        <w:t>月</w:t>
      </w:r>
      <w:r>
        <w:rPr>
          <w:rFonts w:hint="eastAsia" w:ascii="宋体" w:hAnsi="宋体" w:cs="宋体"/>
          <w:u w:val="single"/>
        </w:rPr>
        <w:t xml:space="preserve">    </w:t>
      </w:r>
      <w:r>
        <w:rPr>
          <w:rFonts w:hint="eastAsia" w:ascii="宋体" w:hAnsi="宋体" w:cs="宋体"/>
          <w:color w:val="auto"/>
        </w:rPr>
        <w:t>日</w:t>
      </w:r>
    </w:p>
    <w:p>
      <w:pPr>
        <w:pStyle w:val="17"/>
        <w:spacing w:line="360" w:lineRule="auto"/>
        <w:ind w:firstLine="482" w:firstLineChars="200"/>
        <w:jc w:val="both"/>
        <w:rPr>
          <w:rFonts w:hint="eastAsia" w:ascii="宋体" w:hAnsi="宋体" w:cs="宋体"/>
          <w:b/>
          <w:bCs/>
          <w:color w:val="auto"/>
        </w:rPr>
      </w:pPr>
    </w:p>
    <w:p>
      <w:pPr>
        <w:pStyle w:val="17"/>
        <w:spacing w:line="360" w:lineRule="auto"/>
        <w:ind w:firstLine="482" w:firstLineChars="200"/>
        <w:jc w:val="both"/>
        <w:rPr>
          <w:rFonts w:hint="eastAsia" w:ascii="宋体" w:hAnsi="宋体" w:cs="宋体"/>
          <w:b/>
          <w:bCs/>
          <w:color w:val="auto"/>
          <w:u w:val="single"/>
        </w:rPr>
      </w:pPr>
    </w:p>
    <w:p>
      <w:pPr>
        <w:jc w:val="center"/>
        <w:outlineLvl w:val="0"/>
        <w:rPr>
          <w:rFonts w:hint="eastAsia" w:ascii="宋体" w:hAnsi="宋体" w:cs="宋体"/>
          <w:b/>
          <w:bCs/>
          <w:sz w:val="44"/>
          <w:szCs w:val="44"/>
        </w:rPr>
      </w:pPr>
      <w:r>
        <w:rPr>
          <w:rFonts w:hint="eastAsia" w:ascii="宋体" w:hAnsi="宋体" w:cs="宋体"/>
          <w:b/>
          <w:bCs/>
          <w:sz w:val="44"/>
          <w:szCs w:val="44"/>
        </w:rPr>
        <w:br w:type="page"/>
      </w:r>
      <w:bookmarkStart w:id="0" w:name="_GoBack"/>
      <w:bookmarkEnd w:id="0"/>
      <w:r>
        <w:rPr>
          <w:rFonts w:hint="eastAsia" w:ascii="宋体" w:hAnsi="宋体" w:cs="宋体"/>
          <w:b/>
          <w:bCs/>
          <w:sz w:val="44"/>
          <w:szCs w:val="44"/>
        </w:rPr>
        <w:t>幸福99金钱包</w:t>
      </w:r>
      <w:r>
        <w:rPr>
          <w:rFonts w:hint="eastAsia" w:ascii="宋体" w:hAnsi="宋体" w:cs="宋体"/>
          <w:b/>
          <w:bCs/>
          <w:sz w:val="44"/>
          <w:szCs w:val="44"/>
          <w:lang w:eastAsia="zh-CN"/>
        </w:rPr>
        <w:t>55号</w:t>
      </w:r>
      <w:r>
        <w:rPr>
          <w:rFonts w:hint="eastAsia" w:ascii="宋体" w:hAnsi="宋体" w:cs="宋体"/>
          <w:b/>
          <w:bCs/>
          <w:sz w:val="44"/>
          <w:szCs w:val="44"/>
        </w:rPr>
        <w:t>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rPr>
      </w:pPr>
      <w:r>
        <w:rPr>
          <w:rFonts w:hint="eastAsia" w:ascii="宋体" w:hAnsi="宋体" w:cs="宋体"/>
          <w:color w:val="000000"/>
        </w:rPr>
        <w:t>备案编号:</w:t>
      </w:r>
      <w:r>
        <w:rPr>
          <w:rFonts w:hint="eastAsia" w:ascii="宋体" w:hAnsi="宋体" w:cs="宋体"/>
          <w:bCs/>
        </w:rPr>
        <w:t>〖</w:t>
      </w:r>
      <w:r>
        <w:rPr>
          <w:rFonts w:hint="eastAsia" w:ascii="宋体" w:hAnsi="宋体" w:eastAsia="宋体" w:cs="宋体"/>
          <w:bCs/>
          <w:kern w:val="2"/>
          <w:sz w:val="24"/>
          <w:szCs w:val="24"/>
          <w:highlight w:val="none"/>
          <w:lang w:val="en-US" w:eastAsia="zh-CN" w:bidi="ar-SA"/>
        </w:rPr>
        <w:t>Z7002225000364</w:t>
      </w:r>
      <w:r>
        <w:rPr>
          <w:rFonts w:hint="eastAsia" w:ascii="宋体" w:hAnsi="宋体" w:cs="宋体"/>
          <w:bCs/>
        </w:rPr>
        <w:t>〗</w:t>
      </w:r>
    </w:p>
    <w:p>
      <w:pPr>
        <w:spacing w:line="360" w:lineRule="auto"/>
        <w:jc w:val="center"/>
        <w:rPr>
          <w:rFonts w:hint="eastAsia" w:ascii="宋体" w:hAnsi="宋体" w:cs="宋体"/>
          <w:bCs/>
        </w:rPr>
      </w:pPr>
    </w:p>
    <w:p>
      <w:pPr>
        <w:numPr>
          <w:ilvl w:val="0"/>
          <w:numId w:val="8"/>
        </w:numPr>
        <w:spacing w:line="360" w:lineRule="auto"/>
        <w:ind w:firstLine="482" w:firstLineChars="200"/>
        <w:jc w:val="left"/>
        <w:outlineLvl w:val="1"/>
        <w:rPr>
          <w:rFonts w:ascii="宋体" w:hAnsi="宋体" w:cs="宋体"/>
          <w:b/>
        </w:rPr>
      </w:pPr>
      <w:r>
        <w:rPr>
          <w:rFonts w:hint="eastAsia" w:ascii="宋体" w:hAnsi="宋体" w:cs="宋体"/>
          <w:b/>
        </w:rPr>
        <w:t>重要须知</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本理财计划不等同于银行存款、预期收益型理财产品或其他产品。</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2"/>
        <w:rPr>
          <w:rFonts w:hint="eastAsia" w:ascii="宋体" w:hAnsi="宋体" w:cs="宋体"/>
          <w:bCs/>
        </w:rPr>
      </w:pPr>
      <w:r>
        <w:rPr>
          <w:rFonts w:hint="eastAsia" w:ascii="宋体" w:hAnsi="宋体" w:cs="宋体"/>
          <w:b/>
        </w:rPr>
        <w:t>本理财计划是非保本净值型产品。管理人对本理财计划的本金和收益不提供保证承诺。</w:t>
      </w:r>
      <w:r>
        <w:rPr>
          <w:rFonts w:hint="eastAsia" w:ascii="宋体" w:hAnsi="宋体" w:cs="宋体"/>
          <w:bCs/>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交易合同。</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在本理财计划存续期内，如因监管政策或法律法规发生变化，在不损害投资者利益的前提下，管理人有权单方对本理财计划说明书条款进行修订。</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2"/>
        <w:rPr>
          <w:rFonts w:hint="eastAsia" w:ascii="宋体" w:hAnsi="宋体" w:cs="宋体"/>
          <w:bCs/>
        </w:rPr>
      </w:pPr>
      <w:r>
        <w:rPr>
          <w:rFonts w:hint="eastAsia" w:ascii="宋体" w:hAnsi="宋体" w:cs="宋体"/>
          <w:bCs/>
        </w:rPr>
        <w:t>管理人有权依法对本理财计划产品说明书进行解释。</w:t>
      </w:r>
    </w:p>
    <w:p>
      <w:pPr>
        <w:spacing w:line="360" w:lineRule="auto"/>
        <w:jc w:val="left"/>
        <w:rPr>
          <w:rFonts w:hint="eastAsia" w:ascii="宋体" w:hAnsi="宋体" w:cs="宋体"/>
          <w:bCs/>
        </w:rPr>
      </w:pPr>
    </w:p>
    <w:p>
      <w:pPr>
        <w:numPr>
          <w:ilvl w:val="0"/>
          <w:numId w:val="10"/>
        </w:numPr>
        <w:spacing w:line="360" w:lineRule="auto"/>
        <w:ind w:firstLine="482" w:firstLineChars="200"/>
        <w:jc w:val="left"/>
        <w:outlineLvl w:val="1"/>
        <w:rPr>
          <w:rFonts w:ascii="宋体" w:hAnsi="宋体" w:cs="宋体"/>
          <w:b/>
        </w:rPr>
      </w:pPr>
      <w:r>
        <w:rPr>
          <w:rFonts w:hint="eastAsia" w:ascii="宋体" w:hAnsi="宋体" w:cs="宋体"/>
          <w:b/>
        </w:rPr>
        <w:t>释义</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pStyle w:val="17"/>
        <w:numPr>
          <w:ilvl w:val="0"/>
          <w:numId w:val="11"/>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参与主体用语</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www.hzbankwealth.com.cn</w:t>
      </w:r>
      <w:r>
        <w:rPr>
          <w:rFonts w:hint="eastAsia" w:ascii="宋体" w:hAnsi="宋体" w:cs="宋体"/>
          <w:bCs/>
          <w:color w:val="auto"/>
          <w:kern w:val="2"/>
        </w:rPr>
        <w:fldChar w:fldCharType="end"/>
      </w:r>
      <w:r>
        <w:rPr>
          <w:rFonts w:hint="eastAsia" w:ascii="宋体" w:hAnsi="宋体" w:cs="宋体"/>
          <w:bCs/>
          <w:color w:val="auto"/>
          <w:kern w:val="2"/>
        </w:rPr>
        <w:t>。</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指银行业金融机构或者国务院银行业监督管理机构认可的其他机构，可代为办理理财产品销售业务。</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pStyle w:val="17"/>
        <w:numPr>
          <w:ilvl w:val="0"/>
          <w:numId w:val="12"/>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国家金融监督管理总局、中国证券监督管理委员会、外汇管理局、银行业理财登记托管中心等。</w:t>
      </w:r>
    </w:p>
    <w:p>
      <w:pPr>
        <w:pStyle w:val="17"/>
        <w:numPr>
          <w:ilvl w:val="0"/>
          <w:numId w:val="11"/>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法律文件用语</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指《幸福99金钱包</w:t>
      </w:r>
      <w:r>
        <w:rPr>
          <w:rFonts w:hint="eastAsia" w:ascii="宋体" w:hAnsi="宋体" w:cs="宋体"/>
          <w:bCs/>
          <w:color w:val="auto"/>
          <w:kern w:val="2"/>
          <w:lang w:eastAsia="zh-CN"/>
        </w:rPr>
        <w:t>55号</w:t>
      </w:r>
      <w:r>
        <w:rPr>
          <w:rFonts w:hint="eastAsia" w:ascii="宋体" w:hAnsi="宋体" w:cs="宋体"/>
          <w:bCs/>
          <w:color w:val="auto"/>
          <w:kern w:val="2"/>
        </w:rPr>
        <w:t>理财</w:t>
      </w:r>
      <w:r>
        <w:rPr>
          <w:rFonts w:hint="eastAsia" w:ascii="宋体" w:hAnsi="宋体" w:cs="宋体"/>
          <w:bCs/>
        </w:rPr>
        <w:t>产品说明书</w:t>
      </w:r>
      <w:r>
        <w:rPr>
          <w:rFonts w:hint="eastAsia" w:ascii="宋体" w:hAnsi="宋体" w:cs="宋体"/>
          <w:bCs/>
          <w:color w:val="auto"/>
          <w:kern w:val="2"/>
        </w:rPr>
        <w:t>》，以及对该文件的有效修改与补充。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指作为幸福99金钱包</w:t>
      </w:r>
      <w:r>
        <w:rPr>
          <w:rFonts w:hint="eastAsia" w:ascii="宋体" w:hAnsi="宋体" w:cs="宋体"/>
          <w:bCs/>
          <w:color w:val="auto"/>
          <w:kern w:val="2"/>
          <w:lang w:eastAsia="zh-CN"/>
        </w:rPr>
        <w:t>55号</w:t>
      </w:r>
      <w:r>
        <w:rPr>
          <w:rFonts w:hint="eastAsia" w:ascii="宋体" w:hAnsi="宋体" w:cs="宋体"/>
          <w:bCs/>
          <w:color w:val="auto"/>
          <w:kern w:val="2"/>
        </w:rPr>
        <w:t>理财</w:t>
      </w:r>
      <w:r>
        <w:rPr>
          <w:rFonts w:hint="eastAsia" w:ascii="宋体" w:hAnsi="宋体" w:cs="宋体"/>
          <w:bCs/>
        </w:rPr>
        <w:t>合同不可分割组成部分的风险揭示书，</w:t>
      </w:r>
      <w:r>
        <w:rPr>
          <w:rFonts w:hint="eastAsia" w:ascii="宋体" w:hAnsi="宋体" w:cs="宋体"/>
          <w:bCs/>
          <w:color w:val="auto"/>
          <w:kern w:val="2"/>
        </w:rPr>
        <w:t>以及对该文件的有效修改与补充。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指作为幸福99金钱包</w:t>
      </w:r>
      <w:r>
        <w:rPr>
          <w:rFonts w:hint="eastAsia" w:ascii="宋体" w:hAnsi="宋体" w:cs="宋体"/>
          <w:bCs/>
          <w:color w:val="auto"/>
          <w:kern w:val="2"/>
          <w:lang w:eastAsia="zh-CN"/>
        </w:rPr>
        <w:t>55号</w:t>
      </w:r>
      <w:r>
        <w:rPr>
          <w:rFonts w:hint="eastAsia" w:ascii="宋体" w:hAnsi="宋体" w:cs="宋体"/>
          <w:bCs/>
          <w:color w:val="auto"/>
          <w:kern w:val="2"/>
        </w:rPr>
        <w:t>理财</w:t>
      </w:r>
      <w:r>
        <w:rPr>
          <w:rFonts w:hint="eastAsia" w:ascii="宋体" w:hAnsi="宋体" w:cs="宋体"/>
          <w:bCs/>
        </w:rPr>
        <w:t>合同不可分割组成部分的投资者权益须知，</w:t>
      </w:r>
      <w:r>
        <w:rPr>
          <w:rFonts w:hint="eastAsia" w:ascii="宋体" w:hAnsi="宋体" w:cs="宋体"/>
          <w:bCs/>
          <w:color w:val="auto"/>
          <w:kern w:val="2"/>
        </w:rPr>
        <w:t>以及对该文件的有效修改与补充。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指作为幸福99金钱包</w:t>
      </w:r>
      <w:r>
        <w:rPr>
          <w:rFonts w:hint="eastAsia" w:ascii="宋体" w:hAnsi="宋体" w:cs="宋体"/>
          <w:bCs/>
          <w:color w:val="auto"/>
          <w:kern w:val="2"/>
          <w:lang w:eastAsia="zh-CN"/>
        </w:rPr>
        <w:t>55号</w:t>
      </w:r>
      <w:r>
        <w:rPr>
          <w:rFonts w:hint="eastAsia" w:ascii="宋体" w:hAnsi="宋体" w:cs="宋体"/>
          <w:bCs/>
          <w:color w:val="auto"/>
          <w:kern w:val="2"/>
        </w:rPr>
        <w:t>理财</w:t>
      </w:r>
      <w:r>
        <w:rPr>
          <w:rFonts w:hint="eastAsia" w:ascii="宋体" w:hAnsi="宋体" w:cs="宋体"/>
          <w:bCs/>
        </w:rPr>
        <w:t>合同不可分割组成部分的理财计划投资协议书，</w:t>
      </w:r>
      <w:r>
        <w:rPr>
          <w:rFonts w:hint="eastAsia" w:ascii="宋体" w:hAnsi="宋体" w:cs="宋体"/>
          <w:bCs/>
          <w:color w:val="auto"/>
          <w:kern w:val="2"/>
        </w:rPr>
        <w:t>以及对该文件的有效修改与补充。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指作为幸福99金钱包</w:t>
      </w:r>
      <w:r>
        <w:rPr>
          <w:rFonts w:hint="eastAsia" w:ascii="宋体" w:hAnsi="宋体" w:cs="宋体"/>
          <w:bCs/>
          <w:color w:val="auto"/>
          <w:kern w:val="2"/>
          <w:lang w:eastAsia="zh-CN"/>
        </w:rPr>
        <w:t>55号</w:t>
      </w:r>
      <w:r>
        <w:rPr>
          <w:rFonts w:hint="eastAsia" w:ascii="宋体" w:hAnsi="宋体" w:cs="宋体"/>
          <w:bCs/>
          <w:color w:val="auto"/>
          <w:kern w:val="2"/>
        </w:rPr>
        <w:t>理财合同不可分割组成部分的理财计划销售协议书，以及对该文件的有效修改与补充。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pStyle w:val="17"/>
        <w:numPr>
          <w:ilvl w:val="0"/>
          <w:numId w:val="11"/>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理财产品用语</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指幸福99金钱包</w:t>
      </w:r>
      <w:r>
        <w:rPr>
          <w:rFonts w:hint="eastAsia" w:ascii="宋体" w:hAnsi="宋体" w:cs="宋体"/>
          <w:bCs/>
          <w:color w:val="auto"/>
          <w:kern w:val="2"/>
          <w:lang w:eastAsia="zh-CN"/>
        </w:rPr>
        <w:t>55号</w:t>
      </w:r>
      <w:r>
        <w:rPr>
          <w:rFonts w:hint="eastAsia" w:ascii="宋体" w:hAnsi="宋体" w:cs="宋体"/>
          <w:bCs/>
          <w:color w:val="auto"/>
          <w:kern w:val="2"/>
        </w:rPr>
        <w:t>理财</w:t>
      </w:r>
      <w:r>
        <w:rPr>
          <w:rFonts w:hint="eastAsia" w:ascii="宋体" w:hAnsi="宋体" w:cs="宋体"/>
          <w:bCs/>
        </w:rPr>
        <w:t>。</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pStyle w:val="17"/>
        <w:numPr>
          <w:ilvl w:val="0"/>
          <w:numId w:val="14"/>
        </w:numPr>
        <w:adjustRightInd/>
        <w:spacing w:line="360" w:lineRule="auto"/>
        <w:ind w:firstLine="482" w:firstLineChars="200"/>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pStyle w:val="17"/>
        <w:numPr>
          <w:ilvl w:val="0"/>
          <w:numId w:val="14"/>
        </w:numPr>
        <w:adjustRightInd/>
        <w:spacing w:line="360" w:lineRule="auto"/>
        <w:ind w:firstLine="482" w:firstLineChars="200"/>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投资周期：</w:t>
      </w:r>
      <w:r>
        <w:rPr>
          <w:rFonts w:hint="eastAsia" w:ascii="宋体" w:hAnsi="宋体" w:cs="宋体"/>
          <w:bCs/>
          <w:color w:val="auto"/>
          <w:kern w:val="2"/>
        </w:rPr>
        <w:t>指理财计划成立或申购/赎回开放期确认后，至下一个申购/赎回开放期确认前的时间。如申购和赎回开放期确认时间不一致，应明确以申购投资周期或赎回投资周期作为理财计划的投资周期。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开放日：</w:t>
      </w:r>
      <w:r>
        <w:rPr>
          <w:rFonts w:hint="eastAsia" w:ascii="宋体" w:hAnsi="宋体" w:cs="宋体"/>
          <w:bCs/>
          <w:color w:val="auto"/>
          <w:kern w:val="2"/>
        </w:rPr>
        <w:t>指为投资者办理申购、赎回交易的日期。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确认日：</w:t>
      </w:r>
      <w:r>
        <w:rPr>
          <w:rFonts w:hint="eastAsia" w:ascii="宋体" w:hAnsi="宋体" w:cs="宋体"/>
          <w:bCs/>
          <w:color w:val="auto"/>
          <w:kern w:val="2"/>
        </w:rPr>
        <w:t>指管理人确认投资者申购、赎回交易是否有效的日期。</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申购：</w:t>
      </w:r>
      <w:r>
        <w:rPr>
          <w:rFonts w:hint="eastAsia" w:ascii="宋体" w:hAnsi="宋体" w:cs="宋体"/>
          <w:bCs/>
          <w:color w:val="auto"/>
          <w:kern w:val="2"/>
        </w:rPr>
        <w:t>指理财计划申购开放期内，投资者向管理人进行理财计划份额购买的行为。</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赎回：</w:t>
      </w:r>
      <w:r>
        <w:rPr>
          <w:rFonts w:hint="eastAsia" w:ascii="宋体" w:hAnsi="宋体" w:cs="宋体"/>
          <w:bCs/>
          <w:color w:val="auto"/>
          <w:kern w:val="2"/>
        </w:rPr>
        <w:t>指理财计划赎回开放期内，投资者向管理人进行理财计划份额卖出的行为。</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机构收取的销售服务费、托管人收取的托管费、交易费用、执行费用等相关费用，具体以实际发生为准。</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流</w:t>
      </w:r>
      <w:r>
        <w:rPr>
          <w:rFonts w:hint="eastAsia"/>
          <w:b/>
        </w:rPr>
        <w:t>动性受限资产：</w:t>
      </w:r>
      <w:r>
        <w:rPr>
          <w:rFonts w:hint="eastAsia"/>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b/>
          <w:bCs/>
        </w:rPr>
        <w:t>7个工作日可变现资产：</w:t>
      </w:r>
      <w:r>
        <w:rPr>
          <w:rFonts w:hint="eastAsia"/>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1"/>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相关事件用语</w:t>
      </w:r>
    </w:p>
    <w:p>
      <w:pPr>
        <w:pStyle w:val="17"/>
        <w:numPr>
          <w:ilvl w:val="0"/>
          <w:numId w:val="15"/>
        </w:numPr>
        <w:adjustRightInd/>
        <w:spacing w:line="360" w:lineRule="auto"/>
        <w:ind w:firstLine="482" w:firstLineChars="200"/>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rPr>
      </w:pPr>
      <w:r>
        <w:rPr>
          <w:rFonts w:hint="eastAsia" w:ascii="宋体" w:hAnsi="宋体" w:cs="宋体"/>
          <w:bCs/>
          <w:color w:val="auto"/>
          <w:kern w:val="2"/>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pStyle w:val="17"/>
        <w:numPr>
          <w:ilvl w:val="0"/>
          <w:numId w:val="16"/>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巨额赎回：</w:t>
      </w:r>
      <w:r>
        <w:rPr>
          <w:rFonts w:hint="eastAsia" w:ascii="宋体" w:hAnsi="宋体" w:cs="宋体"/>
          <w:bCs/>
          <w:color w:val="auto"/>
          <w:kern w:val="2"/>
        </w:rPr>
        <w:t>指理财计划的申购和赎回开放期内，理财计划任一开放日净赎回申请份额超过上一工作日日终理财计划总份额的〖10%〗，即为发生巨额赎回行为。</w:t>
      </w:r>
    </w:p>
    <w:p>
      <w:pPr>
        <w:pStyle w:val="17"/>
        <w:adjustRightInd/>
        <w:spacing w:line="360" w:lineRule="auto"/>
        <w:rPr>
          <w:rFonts w:hint="eastAsia" w:ascii="宋体" w:hAnsi="宋体" w:cs="宋体"/>
          <w:b/>
          <w:color w:val="auto"/>
          <w:kern w:val="2"/>
        </w:rPr>
      </w:pPr>
    </w:p>
    <w:p>
      <w:pPr>
        <w:pStyle w:val="17"/>
        <w:numPr>
          <w:ilvl w:val="0"/>
          <w:numId w:val="17"/>
        </w:numPr>
        <w:adjustRightInd/>
        <w:spacing w:line="360" w:lineRule="auto"/>
        <w:ind w:firstLine="482" w:firstLineChars="200"/>
        <w:outlineLvl w:val="1"/>
        <w:rPr>
          <w:rFonts w:hint="eastAsia" w:ascii="宋体" w:hAnsi="宋体" w:cs="宋体"/>
          <w:b/>
          <w:color w:val="auto"/>
          <w:kern w:val="2"/>
        </w:rPr>
      </w:pPr>
      <w:r>
        <w:rPr>
          <w:rFonts w:hint="eastAsia" w:ascii="宋体" w:hAnsi="宋体" w:cs="宋体"/>
          <w:b/>
          <w:color w:val="auto"/>
          <w:kern w:val="2"/>
        </w:rPr>
        <w:t>风险评级</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本理财计划的风险等级为〖R1〗，〖低〗风险。</w:t>
      </w:r>
      <w:r>
        <w:rPr>
          <w:rFonts w:hint="eastAsia" w:ascii="宋体" w:hAnsi="宋体" w:cs="宋体"/>
          <w:bCs/>
          <w:color w:val="auto"/>
          <w:kern w:val="2"/>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R1</w:t>
            </w:r>
          </w:p>
        </w:tc>
        <w:tc>
          <w:tcPr>
            <w:tcW w:w="1382"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低</w:t>
            </w:r>
          </w:p>
        </w:tc>
        <w:tc>
          <w:tcPr>
            <w:tcW w:w="4755"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R2</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中低</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pStyle w:val="17"/>
        <w:adjustRightInd/>
        <w:spacing w:line="360" w:lineRule="auto"/>
        <w:ind w:firstLine="48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pStyle w:val="17"/>
        <w:adjustRightInd/>
        <w:spacing w:line="360" w:lineRule="auto"/>
        <w:rPr>
          <w:rFonts w:hint="eastAsia" w:ascii="宋体" w:hAnsi="宋体" w:cs="宋体"/>
          <w:b/>
          <w:color w:val="auto"/>
          <w:kern w:val="2"/>
        </w:rPr>
      </w:pPr>
    </w:p>
    <w:p>
      <w:pPr>
        <w:pStyle w:val="17"/>
        <w:numPr>
          <w:ilvl w:val="0"/>
          <w:numId w:val="17"/>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产品名称</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幸福99金钱包</w:t>
            </w:r>
            <w:r>
              <w:rPr>
                <w:rFonts w:hint="eastAsia" w:ascii="宋体" w:hAnsi="宋体" w:cs="宋体"/>
                <w:sz w:val="21"/>
                <w:szCs w:val="21"/>
                <w:lang w:eastAsia="zh-CN"/>
              </w:rPr>
              <w:t>55号</w:t>
            </w:r>
            <w:r>
              <w:rPr>
                <w:rFonts w:hint="eastAsia" w:ascii="宋体" w:hAnsi="宋体" w:cs="宋体"/>
                <w:sz w:val="21"/>
                <w:szCs w:val="21"/>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产品简称</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sz w:val="21"/>
                <w:szCs w:val="21"/>
              </w:rPr>
              <w:t>金钱包</w:t>
            </w:r>
            <w:r>
              <w:rPr>
                <w:rFonts w:hint="eastAsia" w:ascii="宋体" w:hAnsi="宋体" w:cs="宋体"/>
                <w:sz w:val="21"/>
                <w:szCs w:val="21"/>
                <w:lang w:eastAsia="zh-CN"/>
              </w:rPr>
              <w:t>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产品编号</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产品销售代码</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rPr>
              <w:t>A份额：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rPr>
              <w:t>A</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B</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B</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C</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C</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E</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E</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F</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F</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G</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G</w:t>
            </w:r>
            <w:r>
              <w:rPr>
                <w:rFonts w:hint="eastAsia" w:ascii="宋体" w:hAnsi="宋体" w:cs="宋体"/>
                <w:sz w:val="21"/>
                <w:szCs w:val="21"/>
              </w:rPr>
              <w:t>〗</w:t>
            </w:r>
          </w:p>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lang w:val="en-US" w:eastAsia="zh-CN"/>
              </w:rPr>
              <w:t>J</w:t>
            </w:r>
            <w:r>
              <w:rPr>
                <w:rFonts w:hint="eastAsia" w:ascii="宋体" w:hAnsi="宋体" w:cs="宋体"/>
                <w:color w:val="000000"/>
                <w:sz w:val="21"/>
                <w:szCs w:val="21"/>
              </w:rPr>
              <w:t>份额：</w:t>
            </w:r>
            <w:r>
              <w:rPr>
                <w:rFonts w:hint="eastAsia" w:ascii="宋体" w:hAnsi="宋体" w:cs="宋体"/>
                <w:sz w:val="21"/>
                <w:szCs w:val="21"/>
              </w:rPr>
              <w:t>〖</w:t>
            </w:r>
            <w:r>
              <w:rPr>
                <w:rFonts w:hint="eastAsia" w:ascii="宋体" w:hAnsi="宋体" w:cs="宋体"/>
                <w:color w:val="000000"/>
                <w:sz w:val="21"/>
                <w:szCs w:val="21"/>
              </w:rPr>
              <w:t>JQB</w:t>
            </w:r>
            <w:r>
              <w:rPr>
                <w:rFonts w:hint="eastAsia" w:ascii="宋体" w:hAnsi="宋体" w:cs="宋体"/>
                <w:color w:val="000000"/>
                <w:sz w:val="21"/>
                <w:szCs w:val="21"/>
                <w:lang w:eastAsia="zh-CN"/>
              </w:rPr>
              <w:t>2555</w:t>
            </w:r>
            <w:r>
              <w:rPr>
                <w:rFonts w:hint="eastAsia" w:ascii="宋体" w:hAnsi="宋体" w:cs="宋体"/>
                <w:color w:val="000000"/>
                <w:sz w:val="21"/>
                <w:szCs w:val="21"/>
                <w:lang w:val="en-US" w:eastAsia="zh-CN"/>
              </w:rPr>
              <w:t>J</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Z7002225000364</w:t>
            </w:r>
            <w:r>
              <w:rPr>
                <w:rFonts w:hint="eastAsia" w:ascii="宋体" w:hAnsi="宋体" w:cs="宋体"/>
                <w:color w:val="000000"/>
                <w:sz w:val="21"/>
                <w:szCs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发行对象</w:t>
            </w:r>
          </w:p>
        </w:tc>
        <w:tc>
          <w:tcPr>
            <w:tcW w:w="7185" w:type="dxa"/>
            <w:noWrap w:val="0"/>
            <w:vAlign w:val="center"/>
          </w:tcPr>
          <w:p>
            <w:pPr>
              <w:widowControl/>
              <w:spacing w:line="360" w:lineRule="auto"/>
              <w:contextualSpacing/>
              <w:rPr>
                <w:rFonts w:ascii="宋体" w:hAnsi="宋体" w:cs="宋体"/>
                <w:bCs/>
                <w:sz w:val="21"/>
                <w:szCs w:val="21"/>
              </w:rPr>
            </w:pPr>
            <w:r>
              <w:rPr>
                <w:rFonts w:hint="eastAsia" w:ascii="宋体" w:hAnsi="宋体" w:cs="宋体"/>
                <w:color w:val="000000"/>
                <w:sz w:val="21"/>
                <w:szCs w:val="21"/>
              </w:rPr>
              <w:t>本理财计划适合</w:t>
            </w:r>
            <w:r>
              <w:rPr>
                <w:rFonts w:hint="eastAsia" w:ascii="宋体" w:hAnsi="宋体" w:cs="宋体"/>
                <w:b/>
                <w:sz w:val="21"/>
                <w:szCs w:val="21"/>
              </w:rPr>
              <w:t>〖</w:t>
            </w:r>
            <w:r>
              <w:rPr>
                <w:rFonts w:hint="eastAsia" w:ascii="宋体" w:hAnsi="宋体" w:cs="宋体"/>
                <w:b/>
                <w:color w:val="000000"/>
                <w:sz w:val="21"/>
                <w:szCs w:val="21"/>
              </w:rPr>
              <w:t>机构投资者</w:t>
            </w:r>
            <w:r>
              <w:rPr>
                <w:rFonts w:hint="eastAsia" w:ascii="宋体" w:hAnsi="宋体" w:cs="宋体"/>
                <w:b/>
                <w:sz w:val="21"/>
                <w:szCs w:val="21"/>
              </w:rPr>
              <w:t>〗</w:t>
            </w:r>
            <w:r>
              <w:rPr>
                <w:rFonts w:hint="eastAsia" w:ascii="宋体" w:hAnsi="宋体" w:cs="宋体"/>
                <w:b/>
                <w:color w:val="000000"/>
                <w:sz w:val="21"/>
                <w:szCs w:val="21"/>
              </w:rPr>
              <w:t>以及</w:t>
            </w:r>
            <w:r>
              <w:rPr>
                <w:rFonts w:hint="eastAsia" w:ascii="宋体" w:hAnsi="宋体" w:cs="宋体"/>
                <w:b/>
                <w:sz w:val="21"/>
                <w:szCs w:val="21"/>
              </w:rPr>
              <w:t>〖保守型、稳健型、平衡型、成长型、进取型〗</w:t>
            </w:r>
            <w:r>
              <w:rPr>
                <w:rFonts w:hint="eastAsia" w:ascii="宋体" w:hAnsi="宋体" w:cs="宋体"/>
                <w:b/>
                <w:color w:val="000000"/>
                <w:sz w:val="21"/>
                <w:szCs w:val="21"/>
              </w:rPr>
              <w:t>的个人投资者。</w:t>
            </w:r>
            <w:r>
              <w:rPr>
                <w:rFonts w:hint="eastAsia" w:ascii="宋体" w:hAnsi="宋体" w:cs="宋体"/>
                <w:bCs/>
                <w:sz w:val="21"/>
                <w:szCs w:val="21"/>
              </w:rPr>
              <w:t>投资者风险承受能力评级水平以销售机构评估为准。</w:t>
            </w:r>
          </w:p>
          <w:p>
            <w:pPr>
              <w:widowControl/>
              <w:spacing w:line="360" w:lineRule="auto"/>
              <w:contextualSpacing/>
              <w:rPr>
                <w:rFonts w:hint="eastAsia" w:ascii="宋体" w:hAnsi="宋体" w:cs="宋体"/>
                <w:bCs/>
                <w:color w:val="000000"/>
                <w:sz w:val="21"/>
                <w:szCs w:val="21"/>
              </w:rPr>
            </w:pPr>
            <w:r>
              <w:rPr>
                <w:rFonts w:hint="eastAsia" w:ascii="宋体" w:hAnsi="宋体" w:cs="宋体"/>
                <w:bCs/>
                <w:color w:val="000000"/>
                <w:sz w:val="21"/>
                <w:szCs w:val="21"/>
              </w:rPr>
              <w:t>其中：</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A份额</w:t>
            </w:r>
            <w:r>
              <w:rPr>
                <w:rFonts w:hint="eastAsia" w:ascii="宋体" w:hAnsi="宋体" w:cs="宋体"/>
                <w:color w:val="000000"/>
                <w:sz w:val="21"/>
                <w:szCs w:val="21"/>
                <w:lang w:val="en-US" w:eastAsia="zh-CN"/>
              </w:rPr>
              <w:t>（</w:t>
            </w:r>
            <w:r>
              <w:rPr>
                <w:rFonts w:hint="eastAsia" w:ascii="宋体" w:hAnsi="宋体" w:cs="宋体"/>
                <w:color w:val="000000"/>
                <w:sz w:val="21"/>
                <w:szCs w:val="21"/>
              </w:rPr>
              <w:t>销售代码〖JQB</w:t>
            </w:r>
            <w:r>
              <w:rPr>
                <w:rFonts w:hint="eastAsia" w:ascii="宋体" w:hAnsi="宋体" w:cs="宋体"/>
                <w:color w:val="000000"/>
                <w:sz w:val="21"/>
                <w:szCs w:val="21"/>
                <w:lang w:eastAsia="zh-CN"/>
              </w:rPr>
              <w:t>2555</w:t>
            </w:r>
            <w:r>
              <w:rPr>
                <w:rFonts w:hint="eastAsia" w:ascii="宋体" w:hAnsi="宋体" w:cs="宋体"/>
                <w:color w:val="000000"/>
                <w:sz w:val="21"/>
                <w:szCs w:val="21"/>
              </w:rPr>
              <w:t>A〗</w:t>
            </w:r>
            <w:r>
              <w:rPr>
                <w:rFonts w:hint="eastAsia" w:ascii="宋体" w:hAnsi="宋体" w:cs="宋体"/>
                <w:color w:val="000000"/>
                <w:sz w:val="21"/>
                <w:szCs w:val="21"/>
                <w:lang w:eastAsia="zh-CN"/>
              </w:rPr>
              <w:t>）</w:t>
            </w:r>
            <w:r>
              <w:rPr>
                <w:rFonts w:hint="eastAsia" w:ascii="宋体" w:hAnsi="宋体" w:cs="宋体"/>
                <w:color w:val="000000"/>
                <w:sz w:val="21"/>
                <w:szCs w:val="21"/>
              </w:rPr>
              <w:t>面向〖普通个人投资者和机构客户〗发售</w:t>
            </w:r>
          </w:p>
          <w:p>
            <w:pPr>
              <w:widowControl/>
              <w:spacing w:line="360" w:lineRule="auto"/>
              <w:contextualSpacing/>
              <w:rPr>
                <w:rFonts w:hint="eastAsia" w:ascii="宋体" w:hAnsi="宋体" w:cs="宋体"/>
                <w:color w:val="000000"/>
                <w:sz w:val="21"/>
                <w:szCs w:val="21"/>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B份额（销售代码〖JQB2555B〗）</w:t>
            </w:r>
            <w:r>
              <w:rPr>
                <w:rFonts w:hint="eastAsia" w:ascii="宋体" w:hAnsi="宋体" w:cs="宋体"/>
                <w:color w:val="000000"/>
                <w:sz w:val="21"/>
                <w:szCs w:val="21"/>
              </w:rPr>
              <w:t>面向〖普通个人投资者和机构客户〗发售</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C份额（销售代码〖JQB2555C〗）</w:t>
            </w:r>
            <w:r>
              <w:rPr>
                <w:rFonts w:hint="eastAsia" w:ascii="宋体" w:hAnsi="宋体" w:cs="宋体"/>
                <w:color w:val="000000"/>
                <w:sz w:val="21"/>
                <w:szCs w:val="21"/>
              </w:rPr>
              <w:t>面向〖普通个人投资者和机构客户〗发售</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E份额（销售代码〖JQB2555E〗）</w:t>
            </w:r>
            <w:r>
              <w:rPr>
                <w:rFonts w:hint="eastAsia" w:ascii="宋体" w:hAnsi="宋体" w:cs="宋体"/>
                <w:color w:val="000000"/>
                <w:sz w:val="21"/>
                <w:szCs w:val="21"/>
              </w:rPr>
              <w:t>面向〖普通个人投资者和机构客户〗发售</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F份额（销售代码〖JQB2555F〗）</w:t>
            </w:r>
            <w:r>
              <w:rPr>
                <w:rFonts w:hint="eastAsia" w:ascii="宋体" w:hAnsi="宋体" w:cs="宋体"/>
                <w:color w:val="000000"/>
                <w:sz w:val="21"/>
                <w:szCs w:val="21"/>
              </w:rPr>
              <w:t>面向〖普通个人投资者和机构客户〗发售</w:t>
            </w:r>
          </w:p>
          <w:p>
            <w:pPr>
              <w:widowControl/>
              <w:spacing w:line="360" w:lineRule="auto"/>
              <w:contextualSpacing/>
              <w:rPr>
                <w:rFonts w:hint="eastAsia" w:ascii="宋体" w:hAnsi="宋体" w:cs="宋体"/>
                <w:color w:val="000000"/>
                <w:sz w:val="21"/>
                <w:szCs w:val="21"/>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G份额（销售代码〖JQB2555G〗）</w:t>
            </w:r>
            <w:r>
              <w:rPr>
                <w:rFonts w:hint="eastAsia" w:ascii="宋体" w:hAnsi="宋体" w:cs="宋体"/>
                <w:color w:val="000000"/>
                <w:sz w:val="21"/>
                <w:szCs w:val="21"/>
              </w:rPr>
              <w:t>面向〖普通个人投资者和机构客户〗发售</w:t>
            </w:r>
          </w:p>
          <w:p>
            <w:pPr>
              <w:widowControl/>
              <w:spacing w:line="360" w:lineRule="auto"/>
              <w:contextualSpacing/>
              <w:rPr>
                <w:rFonts w:hint="eastAsia" w:ascii="宋体" w:hAnsi="宋体" w:cs="宋体"/>
                <w:color w:val="000000"/>
                <w:sz w:val="21"/>
                <w:szCs w:val="21"/>
              </w:rPr>
            </w:pPr>
            <w:r>
              <w:rPr>
                <w:rFonts w:hint="eastAsia" w:ascii="宋体" w:hAnsi="宋体" w:eastAsia="宋体" w:cs="宋体"/>
                <w:b w:val="0"/>
                <w:i w:val="0"/>
                <w:caps w:val="0"/>
                <w:strike w:val="0"/>
                <w:dstrike w:val="0"/>
                <w:shadow w:val="0"/>
                <w:emboss w:val="0"/>
                <w:imprint w:val="0"/>
                <w:color w:val="000000"/>
                <w:kern w:val="2"/>
                <w:position w:val="-1"/>
                <w:sz w:val="21"/>
                <w:u w:val="none"/>
                <w:vertAlign w:val="baseline"/>
                <w:lang w:val="en-US" w:eastAsia="zh-CN"/>
              </w:rPr>
              <w:t>J</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份额</w:t>
            </w:r>
            <w:r>
              <w:rPr>
                <w:rFonts w:hint="eastAsia" w:ascii="宋体" w:hAnsi="宋体" w:eastAsia="宋体" w:cs="宋体"/>
                <w:b w:val="0"/>
                <w:i w:val="0"/>
                <w:caps w:val="0"/>
                <w:strike w:val="0"/>
                <w:dstrike w:val="0"/>
                <w:shadow w:val="0"/>
                <w:emboss w:val="0"/>
                <w:imprint w:val="0"/>
                <w:color w:val="000000"/>
                <w:kern w:val="2"/>
                <w:position w:val="-1"/>
                <w:sz w:val="21"/>
                <w:u w:val="none"/>
                <w:vertAlign w:val="baseline"/>
                <w:lang w:eastAsia="zh-CN"/>
              </w:rPr>
              <w:t>（</w:t>
            </w:r>
            <w:r>
              <w:rPr>
                <w:rFonts w:hint="eastAsia" w:ascii="宋体" w:hAnsi="宋体" w:eastAsia="宋体" w:cs="宋体"/>
                <w:b w:val="0"/>
                <w:i w:val="0"/>
                <w:caps w:val="0"/>
                <w:strike w:val="0"/>
                <w:dstrike w:val="0"/>
                <w:shadow w:val="0"/>
                <w:emboss w:val="0"/>
                <w:imprint w:val="0"/>
                <w:color w:val="000000"/>
                <w:kern w:val="2"/>
                <w:position w:val="-1"/>
                <w:sz w:val="21"/>
                <w:u w:val="none"/>
                <w:vertAlign w:val="baseline"/>
                <w:lang w:val="en-US" w:eastAsia="zh-CN"/>
              </w:rPr>
              <w:t>鑫福款）</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（销售代码〖JQB2555</w:t>
            </w:r>
            <w:r>
              <w:rPr>
                <w:rFonts w:hint="eastAsia" w:ascii="宋体" w:hAnsi="宋体" w:eastAsia="宋体" w:cs="宋体"/>
                <w:b w:val="0"/>
                <w:i w:val="0"/>
                <w:caps w:val="0"/>
                <w:strike w:val="0"/>
                <w:dstrike w:val="0"/>
                <w:shadow w:val="0"/>
                <w:emboss w:val="0"/>
                <w:imprint w:val="0"/>
                <w:color w:val="000000"/>
                <w:kern w:val="2"/>
                <w:position w:val="-1"/>
                <w:sz w:val="21"/>
                <w:u w:val="none"/>
                <w:vertAlign w:val="baseline"/>
                <w:lang w:val="en-US" w:eastAsia="zh-CN"/>
              </w:rPr>
              <w:t>J</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t>
            </w:r>
            <w:r>
              <w:rPr>
                <w:rFonts w:hint="eastAsia" w:ascii="宋体" w:hAnsi="宋体" w:cs="宋体"/>
                <w:color w:val="000000"/>
                <w:sz w:val="21"/>
                <w:szCs w:val="21"/>
              </w:rPr>
              <w:t>面向〖普通个人投资者和机构客户〗发售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产品类型</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sz w:val="21"/>
                <w:szCs w:val="21"/>
                <w:lang w:val="en-US" w:eastAsia="zh-CN"/>
              </w:rPr>
              <w:t>现金管理</w:t>
            </w:r>
            <w:r>
              <w:rPr>
                <w:rFonts w:hint="eastAsia" w:ascii="宋体" w:hAnsi="宋体" w:cs="宋体"/>
                <w:sz w:val="21"/>
                <w:szCs w:val="21"/>
              </w:rPr>
              <w:t>〗</w:t>
            </w:r>
            <w:r>
              <w:rPr>
                <w:rFonts w:hint="eastAsia" w:ascii="宋体" w:hAnsi="宋体" w:cs="宋体"/>
                <w:color w:val="000000"/>
                <w:sz w:val="21"/>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运作模式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分级产品</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全国</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销售渠道</w:t>
            </w:r>
          </w:p>
        </w:tc>
        <w:tc>
          <w:tcPr>
            <w:tcW w:w="7185" w:type="dxa"/>
            <w:noWrap w:val="0"/>
            <w:vAlign w:val="center"/>
          </w:tcPr>
          <w:p>
            <w:pPr>
              <w:widowControl/>
              <w:spacing w:line="360" w:lineRule="auto"/>
              <w:contextualSpacing/>
              <w:jc w:val="left"/>
              <w:rPr>
                <w:rFonts w:hint="eastAsia" w:ascii="宋体" w:hAnsi="宋体" w:cs="宋体"/>
                <w:color w:val="000000"/>
                <w:sz w:val="21"/>
                <w:szCs w:val="21"/>
              </w:rPr>
            </w:pPr>
            <w:r>
              <w:rPr>
                <w:rFonts w:hint="eastAsia" w:ascii="宋体" w:hAnsi="宋体" w:cs="宋体"/>
                <w:color w:val="000000"/>
                <w:sz w:val="21"/>
                <w:szCs w:val="21"/>
              </w:rPr>
              <w:t>可通过杭银理财直销渠道和代理销售机构的</w:t>
            </w:r>
            <w:r>
              <w:rPr>
                <w:rFonts w:hint="eastAsia" w:ascii="宋体" w:hAnsi="宋体" w:cs="宋体"/>
                <w:sz w:val="21"/>
                <w:szCs w:val="21"/>
              </w:rPr>
              <w:t>〖</w:t>
            </w:r>
            <w:r>
              <w:rPr>
                <w:rFonts w:hint="eastAsia" w:ascii="宋体" w:hAnsi="宋体" w:cs="宋体"/>
                <w:color w:val="000000"/>
                <w:sz w:val="21"/>
                <w:szCs w:val="21"/>
              </w:rPr>
              <w:t>营业网点、网上银行、手机银行</w:t>
            </w:r>
            <w:r>
              <w:rPr>
                <w:rFonts w:hint="eastAsia" w:ascii="宋体" w:hAnsi="宋体" w:cs="宋体"/>
                <w:sz w:val="21"/>
                <w:szCs w:val="21"/>
              </w:rPr>
              <w:t>〗</w:t>
            </w:r>
            <w:r>
              <w:rPr>
                <w:rFonts w:hint="eastAsia" w:ascii="宋体" w:hAnsi="宋体" w:cs="宋体"/>
                <w:color w:val="000000"/>
                <w:sz w:val="21"/>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人民币</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发行规模上限</w:t>
            </w:r>
          </w:p>
        </w:tc>
        <w:tc>
          <w:tcPr>
            <w:tcW w:w="7185" w:type="dxa"/>
            <w:noWrap w:val="0"/>
            <w:vAlign w:val="center"/>
          </w:tcPr>
          <w:p>
            <w:pPr>
              <w:tabs>
                <w:tab w:val="left" w:pos="360"/>
              </w:tabs>
              <w:jc w:val="left"/>
              <w:rPr>
                <w:rFonts w:hint="eastAsia" w:ascii="宋体" w:hAnsi="宋体"/>
                <w:kern w:val="0"/>
                <w:sz w:val="21"/>
                <w:szCs w:val="21"/>
              </w:rPr>
            </w:pPr>
            <w:r>
              <w:rPr>
                <w:rFonts w:hint="eastAsia" w:ascii="宋体" w:hAnsi="宋体"/>
                <w:kern w:val="0"/>
                <w:sz w:val="21"/>
                <w:szCs w:val="21"/>
              </w:rPr>
              <w:t>发行规模上限</w:t>
            </w:r>
            <w:r>
              <w:rPr>
                <w:rFonts w:hint="eastAsia" w:ascii="宋体" w:hAnsi="宋体"/>
                <w:sz w:val="21"/>
                <w:szCs w:val="21"/>
              </w:rPr>
              <w:t>〖</w:t>
            </w:r>
            <w:r>
              <w:rPr>
                <w:rFonts w:hint="eastAsia" w:ascii="宋体" w:hAnsi="宋体"/>
                <w:sz w:val="21"/>
                <w:szCs w:val="21"/>
                <w:lang w:val="en-US" w:eastAsia="zh-CN"/>
              </w:rPr>
              <w:t>2</w:t>
            </w:r>
            <w:r>
              <w:rPr>
                <w:rFonts w:ascii="宋体" w:hAnsi="宋体"/>
                <w:sz w:val="21"/>
                <w:szCs w:val="21"/>
              </w:rPr>
              <w:t>0</w:t>
            </w:r>
            <w:r>
              <w:rPr>
                <w:rFonts w:hint="eastAsia" w:ascii="宋体" w:hAnsi="宋体"/>
                <w:sz w:val="21"/>
                <w:szCs w:val="21"/>
              </w:rPr>
              <w:t>0〗</w:t>
            </w:r>
            <w:r>
              <w:rPr>
                <w:rFonts w:hint="eastAsia" w:ascii="宋体" w:hAnsi="宋体"/>
                <w:kern w:val="0"/>
                <w:sz w:val="21"/>
                <w:szCs w:val="21"/>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认购期首日〖9：00〗至认购结束日〖1</w:t>
            </w:r>
            <w:r>
              <w:rPr>
                <w:rFonts w:ascii="宋体" w:hAnsi="宋体" w:cs="宋体"/>
                <w:color w:val="000000"/>
                <w:sz w:val="21"/>
                <w:szCs w:val="21"/>
              </w:rPr>
              <w:t>7</w:t>
            </w:r>
            <w:r>
              <w:rPr>
                <w:rFonts w:hint="eastAsia" w:ascii="宋体" w:hAnsi="宋体" w:cs="宋体"/>
                <w:color w:val="000000"/>
                <w:sz w:val="21"/>
                <w:szCs w:val="21"/>
              </w:rPr>
              <w:t>：00〗</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成立日</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封闭期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无封闭期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认购/申购</w:t>
            </w:r>
          </w:p>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起点金额</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起点</w:t>
            </w:r>
            <w:r>
              <w:rPr>
                <w:rFonts w:hint="eastAsia" w:ascii="宋体" w:hAnsi="宋体" w:cs="宋体"/>
                <w:sz w:val="21"/>
                <w:szCs w:val="21"/>
              </w:rPr>
              <w:t>〖0</w:t>
            </w:r>
            <w:r>
              <w:rPr>
                <w:rFonts w:ascii="宋体" w:hAnsi="宋体" w:cs="宋体"/>
                <w:sz w:val="21"/>
                <w:szCs w:val="21"/>
              </w:rPr>
              <w:t>.0</w:t>
            </w:r>
            <w:r>
              <w:rPr>
                <w:rFonts w:hint="eastAsia" w:ascii="宋体" w:hAnsi="宋体" w:cs="宋体"/>
                <w:sz w:val="21"/>
                <w:szCs w:val="21"/>
              </w:rPr>
              <w:t>1〗</w:t>
            </w:r>
            <w:r>
              <w:rPr>
                <w:rFonts w:hint="eastAsia" w:ascii="宋体" w:hAnsi="宋体" w:cs="宋体"/>
                <w:color w:val="000000"/>
                <w:sz w:val="21"/>
                <w:szCs w:val="21"/>
              </w:rPr>
              <w:t>元整，超过认/申购起点部分，应为</w:t>
            </w:r>
            <w:r>
              <w:rPr>
                <w:rFonts w:hint="eastAsia" w:ascii="宋体" w:hAnsi="宋体" w:cs="宋体"/>
                <w:sz w:val="21"/>
                <w:szCs w:val="21"/>
              </w:rPr>
              <w:t>〖0.01〗</w:t>
            </w:r>
            <w:r>
              <w:rPr>
                <w:rFonts w:hint="eastAsia" w:ascii="宋体" w:hAnsi="宋体" w:cs="宋体"/>
                <w:color w:val="000000"/>
                <w:sz w:val="21"/>
                <w:szCs w:val="21"/>
              </w:rPr>
              <w:t>元的整数倍。</w:t>
            </w:r>
            <w:r>
              <w:rPr>
                <w:rFonts w:hint="eastAsia" w:ascii="宋体" w:hAnsi="宋体" w:cs="宋体"/>
                <w:color w:val="000000"/>
                <w:kern w:val="0"/>
                <w:sz w:val="21"/>
                <w:szCs w:val="21"/>
              </w:rPr>
              <w:t>具体以销售机构规定为准。投资者全额赎回不再持有本产品份额后再次申购，视同首次申购处理。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认购份额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认购份额=认购金额/1元。认购份额保留至0.01份理财计划份额，小数点后两位以下四舍五入。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开放日</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理财计划封闭期结束后每个国家法定工作日为申购赎回开放日。（</w:t>
            </w:r>
            <w:r>
              <w:rPr>
                <w:rFonts w:hint="eastAsia" w:ascii="宋体" w:hAnsi="宋体" w:cs="宋体"/>
                <w:color w:val="000000"/>
                <w:kern w:val="0"/>
                <w:sz w:val="21"/>
                <w:szCs w:val="21"/>
              </w:rPr>
              <w:t>具体以销售机构规定为准</w:t>
            </w:r>
            <w:r>
              <w:rPr>
                <w:rFonts w:hint="eastAsia" w:ascii="宋体" w:hAnsi="宋体" w:cs="宋体"/>
                <w:color w:val="000000"/>
                <w:sz w:val="21"/>
                <w:szCs w:val="21"/>
              </w:rPr>
              <w:t>）</w:t>
            </w:r>
          </w:p>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在理财计划存续期内，管理人有权根据市场情况变化暂停本理财计划的申购、赎回，</w:t>
            </w:r>
            <w:r>
              <w:rPr>
                <w:rFonts w:hint="eastAsia" w:ascii="宋体" w:hAnsi="宋体" w:cs="宋体"/>
                <w:bCs/>
                <w:color w:val="000000"/>
                <w:sz w:val="21"/>
                <w:szCs w:val="21"/>
              </w:rPr>
              <w:t>暂停申购、赎回的</w:t>
            </w:r>
            <w:r>
              <w:rPr>
                <w:rFonts w:hint="eastAsia" w:ascii="宋体" w:hAnsi="宋体" w:cs="宋体"/>
                <w:color w:val="000000"/>
                <w:sz w:val="21"/>
                <w:szCs w:val="21"/>
              </w:rPr>
              <w:t>公告将通过管理人或销售机构网站发布。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交易时间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1.本理财计划在每个开放日工作时间均可受理申购、赎回申请，其余时间为预受理。申、赎申请将在确认日，即开放日后的第</w:t>
            </w:r>
            <w:r>
              <w:rPr>
                <w:rFonts w:hint="eastAsia" w:ascii="宋体" w:hAnsi="宋体" w:cs="宋体"/>
                <w:sz w:val="21"/>
                <w:szCs w:val="21"/>
              </w:rPr>
              <w:t>〖1〗个</w:t>
            </w:r>
            <w:r>
              <w:rPr>
                <w:rFonts w:hint="eastAsia" w:ascii="宋体" w:hAnsi="宋体" w:cs="宋体"/>
                <w:bCs/>
                <w:sz w:val="21"/>
                <w:szCs w:val="21"/>
              </w:rPr>
              <w:t>工作日进行确认</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r>
              <w:rPr>
                <w:rFonts w:hint="eastAsia" w:ascii="宋体" w:hAnsi="宋体" w:cs="宋体"/>
                <w:color w:val="000000"/>
                <w:sz w:val="21"/>
                <w:szCs w:val="21"/>
              </w:rPr>
              <w:t>）</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2.工作时间为每个工作日上午〖</w:t>
            </w:r>
            <w:r>
              <w:rPr>
                <w:rFonts w:hint="eastAsia" w:ascii="宋体" w:hAnsi="宋体" w:cs="宋体"/>
                <w:color w:val="000000"/>
                <w:sz w:val="21"/>
                <w:szCs w:val="21"/>
                <w:lang w:val="en-US" w:eastAsia="zh-CN"/>
              </w:rPr>
              <w:t>0</w:t>
            </w:r>
            <w:r>
              <w:rPr>
                <w:rFonts w:hint="eastAsia" w:ascii="宋体" w:hAnsi="宋体" w:cs="宋体"/>
                <w:color w:val="000000"/>
                <w:sz w:val="21"/>
                <w:szCs w:val="21"/>
              </w:rPr>
              <w:t>:00〗至下午〖</w:t>
            </w:r>
            <w:r>
              <w:rPr>
                <w:rFonts w:hint="eastAsia" w:ascii="宋体" w:hAnsi="宋体" w:cs="宋体"/>
                <w:color w:val="000000"/>
                <w:sz w:val="21"/>
                <w:szCs w:val="21"/>
                <w:lang w:val="en-US" w:eastAsia="zh-CN"/>
              </w:rPr>
              <w:t>24</w:t>
            </w:r>
            <w:r>
              <w:rPr>
                <w:rFonts w:hint="eastAsia" w:ascii="宋体" w:hAnsi="宋体" w:cs="宋体"/>
                <w:color w:val="000000"/>
                <w:sz w:val="21"/>
                <w:szCs w:val="21"/>
              </w:rPr>
              <w:t>:</w:t>
            </w:r>
            <w:r>
              <w:rPr>
                <w:rFonts w:hint="eastAsia" w:ascii="宋体" w:hAnsi="宋体" w:cs="宋体"/>
                <w:color w:val="000000"/>
                <w:sz w:val="21"/>
                <w:szCs w:val="21"/>
                <w:lang w:val="en-US" w:eastAsia="zh-CN"/>
              </w:rPr>
              <w:t>00</w:t>
            </w:r>
            <w:r>
              <w:rPr>
                <w:rFonts w:hint="eastAsia" w:ascii="宋体" w:hAnsi="宋体" w:cs="宋体"/>
                <w:color w:val="000000"/>
                <w:sz w:val="21"/>
                <w:szCs w:val="21"/>
              </w:rPr>
              <w:t>〗</w:t>
            </w:r>
            <w:r>
              <w:rPr>
                <w:rFonts w:hint="eastAsia" w:ascii="宋体" w:hAnsi="宋体" w:eastAsia="宋体" w:cs="宋体"/>
                <w:color w:val="000000"/>
                <w:kern w:val="2"/>
                <w:sz w:val="21"/>
                <w:szCs w:val="21"/>
                <w:lang w:val="en-US" w:eastAsia="zh-CN" w:bidi="ar"/>
              </w:rPr>
              <w:t>(不含)</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p>
          <w:p>
            <w:pPr>
              <w:widowControl/>
              <w:spacing w:line="360" w:lineRule="auto"/>
              <w:contextualSpacing/>
              <w:rPr>
                <w:rFonts w:ascii="宋体" w:hAnsi="宋体" w:cs="宋体"/>
                <w:bCs/>
                <w:color w:val="FF0000"/>
                <w:sz w:val="21"/>
                <w:szCs w:val="21"/>
              </w:rPr>
            </w:pPr>
            <w:r>
              <w:rPr>
                <w:rFonts w:hint="eastAsia" w:ascii="宋体" w:hAnsi="宋体" w:cs="宋体"/>
                <w:bCs/>
                <w:sz w:val="21"/>
                <w:szCs w:val="21"/>
              </w:rPr>
              <w:t>3.上述交易安排如有调整，请以管理人公告为准。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理财计划存续期内，若理财计划开放日净赎回申请份额超过上一日日终理财计划总份额</w:t>
            </w:r>
            <w:r>
              <w:rPr>
                <w:rFonts w:hint="eastAsia" w:ascii="宋体" w:hAnsi="宋体" w:cs="宋体"/>
                <w:sz w:val="21"/>
                <w:szCs w:val="21"/>
              </w:rPr>
              <w:t>〖</w:t>
            </w:r>
            <w:r>
              <w:rPr>
                <w:rFonts w:hint="eastAsia" w:ascii="宋体" w:hAnsi="宋体" w:cs="宋体"/>
                <w:color w:val="000000"/>
                <w:sz w:val="21"/>
                <w:szCs w:val="21"/>
              </w:rPr>
              <w:t>10%</w:t>
            </w:r>
            <w:r>
              <w:rPr>
                <w:rFonts w:hint="eastAsia" w:ascii="宋体" w:hAnsi="宋体" w:cs="宋体"/>
                <w:sz w:val="21"/>
                <w:szCs w:val="21"/>
              </w:rPr>
              <w:t>〗</w:t>
            </w:r>
            <w:r>
              <w:rPr>
                <w:rFonts w:hint="eastAsia" w:ascii="宋体" w:hAnsi="宋体" w:cs="宋体"/>
                <w:color w:val="000000"/>
                <w:sz w:val="21"/>
                <w:szCs w:val="21"/>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单户限额</w:t>
            </w:r>
          </w:p>
        </w:tc>
        <w:tc>
          <w:tcPr>
            <w:tcW w:w="7185" w:type="dxa"/>
            <w:noWrap w:val="0"/>
            <w:vAlign w:val="center"/>
          </w:tcPr>
          <w:p>
            <w:pPr>
              <w:widowControl/>
              <w:numPr>
                <w:ilvl w:val="0"/>
                <w:numId w:val="18"/>
              </w:numPr>
              <w:spacing w:line="360" w:lineRule="auto"/>
              <w:contextualSpacing/>
              <w:rPr>
                <w:rFonts w:hint="eastAsia" w:ascii="宋体" w:hAnsi="宋体" w:cs="宋体"/>
                <w:color w:val="000000"/>
                <w:sz w:val="21"/>
                <w:szCs w:val="21"/>
              </w:rPr>
            </w:pP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〖1〗亿元</w:t>
            </w:r>
            <w:r>
              <w:rPr>
                <w:rFonts w:hint="eastAsia" w:ascii="宋体" w:hAnsi="宋体" w:cs="宋体"/>
                <w:color w:val="000000"/>
                <w:sz w:val="21"/>
                <w:szCs w:val="21"/>
              </w:rPr>
              <w:t>，单笔赎回最低份额为0.01份，超过部分应为0.01份的整数倍。</w:t>
            </w:r>
          </w:p>
          <w:p>
            <w:pPr>
              <w:widowControl/>
              <w:spacing w:line="360" w:lineRule="auto"/>
              <w:contextualSpacing/>
              <w:rPr>
                <w:rFonts w:hint="eastAsia" w:ascii="宋体" w:hAns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.单户最低存续份额为0.01份。受理财收益分配去尾规则的影响，投资者持有理财计划份额较低时可能无法取得收益。</w:t>
            </w:r>
          </w:p>
          <w:p>
            <w:pPr>
              <w:widowControl/>
              <w:spacing w:line="360" w:lineRule="auto"/>
              <w:contextualSpacing/>
              <w:rPr>
                <w:rFonts w:ascii="宋体" w:hAns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.在理财计划存续期内，管理人有权根据市场情况变化调整单户单日赎回份额上限及巨额赎回金额上限比例，相关公告最迟于下一工作日在管理人或销售机构网站进行公告。</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注：本产品单一投资者持有份额不得超过产品总份额50%。投资者提出认购/申购申请时，如认购/申购后投资者持有份额超过产品总份额的50%，管理人有权不接受超过单个投资者持仓份额比例限制的申请。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申购份额=申购金额</w:t>
            </w:r>
            <w:r>
              <w:rPr>
                <w:rFonts w:hint="eastAsia" w:ascii="宋体" w:hAnsi="宋体" w:cs="宋体"/>
                <w:color w:val="000000"/>
                <w:sz w:val="21"/>
                <w:szCs w:val="21"/>
              </w:rPr>
              <w:t>/1元</w:t>
            </w:r>
            <w:r>
              <w:rPr>
                <w:rFonts w:hint="eastAsia" w:ascii="宋体" w:hAnsi="宋体" w:cs="宋体"/>
                <w:bCs/>
                <w:sz w:val="21"/>
                <w:szCs w:val="21"/>
              </w:rPr>
              <w:t>。申购</w:t>
            </w:r>
            <w:r>
              <w:rPr>
                <w:rFonts w:hint="eastAsia" w:ascii="宋体" w:hAnsi="宋体" w:cs="宋体"/>
                <w:color w:val="000000"/>
                <w:sz w:val="21"/>
                <w:szCs w:val="21"/>
              </w:rPr>
              <w:t>份额保留至0.01份理财计划份额，小数点后两位以下四舍五入。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赎回金额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赎回金额=赎</w:t>
            </w:r>
            <w:r>
              <w:rPr>
                <w:rFonts w:hint="eastAsia" w:ascii="宋体" w:hAnsi="宋体" w:cs="宋体"/>
                <w:bCs/>
                <w:sz w:val="21"/>
                <w:szCs w:val="21"/>
              </w:rPr>
              <w:t>回份额×</w:t>
            </w:r>
            <w:r>
              <w:rPr>
                <w:rFonts w:hint="eastAsia" w:ascii="宋体" w:hAnsi="宋体" w:cs="宋体"/>
                <w:color w:val="000000"/>
                <w:sz w:val="21"/>
                <w:szCs w:val="21"/>
              </w:rPr>
              <w:t>1元</w:t>
            </w:r>
            <w:r>
              <w:rPr>
                <w:rFonts w:hint="eastAsia" w:ascii="宋体" w:hAnsi="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1.本理财计划采用1.00元固定份额净值交易方式。</w:t>
            </w:r>
          </w:p>
          <w:p>
            <w:pPr>
              <w:widowControl/>
              <w:spacing w:line="360" w:lineRule="auto"/>
              <w:contextualSpacing/>
              <w:rPr>
                <w:rFonts w:ascii="宋体" w:hAnsi="宋体" w:cs="宋体"/>
                <w:b/>
                <w:color w:val="000000"/>
                <w:sz w:val="21"/>
                <w:szCs w:val="21"/>
              </w:rPr>
            </w:pPr>
            <w:r>
              <w:rPr>
                <w:rFonts w:hint="eastAsia" w:ascii="宋体" w:hAnsi="宋体" w:cs="宋体"/>
                <w:bCs/>
                <w:color w:val="000000"/>
                <w:sz w:val="21"/>
                <w:szCs w:val="21"/>
              </w:rPr>
              <w:t>2.若理财计划开放日估值时，出现理财单位份额净值小于1的情况，管理人将暂停本理财计划的申购、赎回，暂停申购、赎回的公告将通过管理人或销售机构网站发布。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资金与收益支付方式</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如投资者进行份额赎回，赎回交易确认后，</w:t>
            </w:r>
            <w:r>
              <w:rPr>
                <w:rFonts w:hint="eastAsia" w:ascii="宋体" w:hAnsi="宋体" w:cs="宋体"/>
                <w:sz w:val="21"/>
                <w:szCs w:val="21"/>
              </w:rPr>
              <w:t>〖1〗</w:t>
            </w:r>
            <w:r>
              <w:rPr>
                <w:rFonts w:hint="eastAsia" w:ascii="宋体" w:hAnsi="宋体" w:cs="宋体"/>
                <w:color w:val="000000"/>
                <w:sz w:val="21"/>
                <w:szCs w:val="21"/>
              </w:rPr>
              <w:t>个工作日内（遇节假日顺延）支付赎回份额对应的金额。如遇资金在途或法定工作日调整，实际资金到账日以公告为准。</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收益分配</w:t>
            </w:r>
          </w:p>
        </w:tc>
        <w:tc>
          <w:tcPr>
            <w:tcW w:w="7185" w:type="dxa"/>
            <w:noWrap w:val="0"/>
            <w:vAlign w:val="center"/>
          </w:tcPr>
          <w:p>
            <w:pPr>
              <w:widowControl/>
              <w:spacing w:line="360" w:lineRule="auto"/>
              <w:contextualSpacing/>
              <w:rPr>
                <w:rFonts w:ascii="宋体" w:hAnsi="宋体" w:cs="宋体"/>
                <w:b/>
                <w:sz w:val="21"/>
                <w:szCs w:val="21"/>
              </w:rPr>
            </w:pPr>
            <w:r>
              <w:rPr>
                <w:rFonts w:hint="eastAsia" w:ascii="宋体" w:hAnsi="宋体" w:cs="宋体"/>
                <w:color w:val="000000"/>
                <w:sz w:val="21"/>
                <w:szCs w:val="21"/>
              </w:rPr>
              <w:t>本理财计划不保障本金和收益。收益每日计算，按日结转为份额。具体分配方案以管理人公告为准。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产品费用</w:t>
            </w:r>
          </w:p>
        </w:tc>
        <w:tc>
          <w:tcPr>
            <w:tcW w:w="7185" w:type="dxa"/>
            <w:noWrap w:val="0"/>
            <w:vAlign w:val="center"/>
          </w:tcPr>
          <w:p>
            <w:pPr>
              <w:widowControl/>
              <w:tabs>
                <w:tab w:val="left" w:pos="312"/>
              </w:tabs>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w:t>
            </w:r>
            <w:r>
              <w:rPr>
                <w:rFonts w:hint="eastAsia" w:ascii="宋体" w:hAnsi="宋体" w:cs="宋体"/>
                <w:color w:val="000000"/>
                <w:sz w:val="21"/>
                <w:szCs w:val="21"/>
              </w:rPr>
              <w:t>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〖E份额〗收取年化〖0.30%〗的销售服务费, 〖F份额〗收取年化〖0.30%〗的销售服务费, 〖G份额〗收取年化〖0.30%〗的销售服务费，〖J份额〗收取年化〖0.20%〗的销售服务费。</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2.托管费：收取年化</w:t>
            </w:r>
            <w:r>
              <w:rPr>
                <w:rFonts w:hint="eastAsia" w:ascii="宋体" w:hAnsi="宋体" w:cs="宋体"/>
                <w:sz w:val="21"/>
                <w:szCs w:val="21"/>
              </w:rPr>
              <w:t>〖0.025%〗</w:t>
            </w:r>
            <w:r>
              <w:rPr>
                <w:rFonts w:hint="eastAsia" w:ascii="宋体" w:hAnsi="宋体" w:cs="宋体"/>
                <w:color w:val="000000"/>
                <w:sz w:val="21"/>
                <w:szCs w:val="21"/>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〖E份额〗收取年化〖0.30%〗的固定管理费, 〖F份额〗收取年化〖0.30%〗的固定管理费, 〖G份额〗收取年化〖0.15%〗的固定管理费，〖J份额〗收取年化〖0.30%〗的固定管理费。</w:t>
            </w:r>
          </w:p>
          <w:p>
            <w:pPr>
              <w:widowControl/>
              <w:tabs>
                <w:tab w:val="left" w:pos="312"/>
              </w:tabs>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4.认购费：本理财计划免除认购费。</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5.申购费：</w:t>
            </w:r>
            <w:r>
              <w:rPr>
                <w:rFonts w:hint="eastAsia" w:ascii="宋体" w:hAnsi="宋体" w:cs="宋体"/>
                <w:color w:val="000000"/>
                <w:sz w:val="21"/>
                <w:szCs w:val="21"/>
              </w:rPr>
              <w:t>本理财计划免除申购费。</w:t>
            </w:r>
          </w:p>
          <w:p>
            <w:pPr>
              <w:widowControl/>
              <w:spacing w:line="360" w:lineRule="auto"/>
              <w:contextualSpacing/>
              <w:rPr>
                <w:rFonts w:ascii="宋体" w:hAnsi="宋体" w:cs="宋体"/>
                <w:bCs/>
                <w:sz w:val="21"/>
                <w:szCs w:val="21"/>
              </w:rPr>
            </w:pPr>
            <w:r>
              <w:rPr>
                <w:rFonts w:hint="eastAsia" w:ascii="宋体" w:hAnsi="宋体" w:cs="宋体"/>
                <w:bCs/>
                <w:sz w:val="21"/>
                <w:szCs w:val="21"/>
              </w:rPr>
              <w:t>6.赎回费：</w:t>
            </w:r>
            <w:r>
              <w:rPr>
                <w:rFonts w:hint="eastAsia" w:ascii="宋体" w:hAnsi="宋体" w:cs="宋体"/>
                <w:color w:val="000000"/>
                <w:sz w:val="21"/>
                <w:szCs w:val="21"/>
              </w:rPr>
              <w:t>本理财计划免除赎回费。</w:t>
            </w:r>
          </w:p>
          <w:p>
            <w:pPr>
              <w:widowControl/>
              <w:spacing w:line="360" w:lineRule="auto"/>
              <w:contextualSpacing/>
              <w:rPr>
                <w:rFonts w:ascii="宋体" w:hAnsi="宋体" w:cs="宋体"/>
                <w:bCs/>
                <w:color w:val="000000"/>
                <w:sz w:val="21"/>
                <w:szCs w:val="21"/>
              </w:rPr>
            </w:pPr>
            <w:r>
              <w:rPr>
                <w:rFonts w:hint="eastAsia" w:ascii="宋体" w:hAnsi="宋体" w:cs="宋体"/>
                <w:color w:val="000000"/>
                <w:sz w:val="21"/>
                <w:szCs w:val="21"/>
              </w:rPr>
              <w:t>7.浮动管理费</w:t>
            </w:r>
            <w:r>
              <w:rPr>
                <w:rFonts w:hint="eastAsia" w:ascii="宋体" w:hAnsi="宋体" w:cs="宋体"/>
                <w:bCs/>
                <w:sz w:val="21"/>
                <w:szCs w:val="21"/>
              </w:rPr>
              <w:t>：</w:t>
            </w:r>
            <w:r>
              <w:rPr>
                <w:rFonts w:hint="eastAsia" w:ascii="宋体" w:hAnsi="宋体" w:cs="宋体"/>
                <w:color w:val="000000"/>
                <w:sz w:val="21"/>
                <w:szCs w:val="21"/>
              </w:rPr>
              <w:t>本理财计划免除浮动管理费</w:t>
            </w:r>
            <w:r>
              <w:rPr>
                <w:rFonts w:hint="eastAsia" w:ascii="宋体" w:hAnsi="宋体" w:cs="宋体"/>
                <w:bCs/>
                <w:color w:val="000000"/>
                <w:sz w:val="21"/>
                <w:szCs w:val="21"/>
              </w:rPr>
              <w:t>。</w:t>
            </w:r>
          </w:p>
          <w:p>
            <w:pPr>
              <w:widowControl/>
              <w:spacing w:line="360" w:lineRule="auto"/>
              <w:contextualSpacing/>
              <w:rPr>
                <w:rFonts w:ascii="宋体" w:hAnsi="宋体" w:cs="宋体"/>
                <w:bCs/>
                <w:color w:val="000000"/>
                <w:sz w:val="21"/>
                <w:szCs w:val="21"/>
              </w:rPr>
            </w:pPr>
            <w:r>
              <w:rPr>
                <w:rFonts w:hint="eastAsia" w:ascii="宋体" w:hAnsi="宋体" w:cs="宋体"/>
                <w:bCs/>
                <w:color w:val="000000"/>
                <w:sz w:val="21"/>
                <w:szCs w:val="21"/>
              </w:rPr>
              <w:t>8</w:t>
            </w:r>
            <w:r>
              <w:rPr>
                <w:rFonts w:ascii="宋体" w:hAnsi="宋体" w:cs="宋体"/>
                <w:bCs/>
                <w:color w:val="000000"/>
                <w:sz w:val="21"/>
                <w:szCs w:val="21"/>
              </w:rPr>
              <w:t>.</w:t>
            </w:r>
            <w:r>
              <w:rPr>
                <w:rFonts w:hint="eastAsia"/>
              </w:rPr>
              <w:t xml:space="preserve"> </w:t>
            </w:r>
            <w:r>
              <w:rPr>
                <w:rFonts w:hint="eastAsia" w:ascii="宋体" w:hAnsi="宋体" w:cs="宋体"/>
                <w:bCs/>
                <w:color w:val="000000"/>
                <w:sz w:val="21"/>
                <w:szCs w:val="21"/>
              </w:rPr>
              <w:t>强制赎回费（如有）：</w:t>
            </w:r>
          </w:p>
          <w:p>
            <w:pPr>
              <w:widowControl/>
              <w:spacing w:line="360" w:lineRule="auto"/>
              <w:contextualSpacing/>
              <w:rPr>
                <w:rFonts w:hint="eastAsia" w:ascii="宋体" w:hAnsi="宋体" w:cs="宋体"/>
                <w:bCs/>
                <w:color w:val="000000"/>
                <w:sz w:val="21"/>
                <w:szCs w:val="21"/>
              </w:rPr>
            </w:pPr>
            <w:r>
              <w:rPr>
                <w:rFonts w:hint="eastAsia" w:ascii="宋体" w:hAnsi="宋体" w:cs="宋体"/>
                <w:bCs/>
                <w:color w:val="000000"/>
                <w:sz w:val="21"/>
                <w:szCs w:val="21"/>
              </w:rPr>
              <w:t>（1）产品持有的现金、国债、中央银行票据、政策性金融债券以及5个交易日内到期的其他金融工具占产品资产净值的比例合计低于5%且偏离度为负时，产品管理人可对当日单个投资者申请赎回份额超过产品总份额1%以上的赎回申请征收1%的强制赎回费用，并将上述赎回费用全部计入产品资产。</w:t>
            </w:r>
          </w:p>
          <w:p>
            <w:pPr>
              <w:widowControl/>
              <w:spacing w:line="360" w:lineRule="auto"/>
              <w:contextualSpacing/>
              <w:rPr>
                <w:rFonts w:hint="eastAsia" w:ascii="宋体" w:hAnsi="宋体" w:cs="宋体"/>
                <w:bCs/>
                <w:color w:val="000000"/>
                <w:sz w:val="21"/>
                <w:szCs w:val="21"/>
              </w:rPr>
            </w:pPr>
            <w:r>
              <w:rPr>
                <w:rFonts w:hint="eastAsia" w:ascii="宋体" w:hAnsi="宋体" w:cs="宋体"/>
                <w:bCs/>
                <w:color w:val="000000"/>
                <w:sz w:val="21"/>
                <w:szCs w:val="21"/>
              </w:rPr>
              <w:t>（2）产品前10名投资者的持有份额合计超过该产品总份额50%的，当投资组合中现金、国债、中央银行票据、政策性金融债券以及5个交易日内到期的其他金融工具占该产品资产净值的比例合计低于10%且偏离度为负时，产品管理人可对投资者超过产品总份额1%以上的赎回申请征收1%的强制赎回费用。</w:t>
            </w:r>
          </w:p>
          <w:p>
            <w:pPr>
              <w:widowControl/>
              <w:spacing w:line="360" w:lineRule="auto"/>
              <w:contextualSpacing/>
              <w:rPr>
                <w:rFonts w:ascii="宋体" w:hAnsi="宋体" w:cs="宋体"/>
                <w:bCs/>
                <w:color w:val="000000"/>
                <w:sz w:val="21"/>
                <w:szCs w:val="21"/>
              </w:rPr>
            </w:pPr>
            <w:r>
              <w:rPr>
                <w:rFonts w:ascii="宋体" w:hAnsi="宋体" w:cs="宋体"/>
                <w:bCs/>
                <w:color w:val="000000"/>
                <w:sz w:val="21"/>
                <w:szCs w:val="21"/>
              </w:rPr>
              <w:t>9</w:t>
            </w:r>
            <w:r>
              <w:rPr>
                <w:rFonts w:hint="eastAsia" w:ascii="宋体" w:hAnsi="宋体" w:cs="宋体"/>
                <w:bCs/>
                <w:color w:val="000000"/>
                <w:sz w:val="21"/>
                <w:szCs w:val="21"/>
              </w:rPr>
              <w:t>.管理人有权根据市场情况和产品运作情况，对本理财计划的收费项目、条件、标准和方式进行调整。如有变更，将提前一个工作日在管理人或者销售机构网站公告。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rPr>
            </w:pPr>
            <w:r>
              <w:rPr>
                <w:rFonts w:hint="eastAsia" w:ascii="宋体" w:hAnsi="宋体" w:cs="宋体"/>
                <w:b/>
                <w:color w:val="000000"/>
                <w:kern w:val="0"/>
                <w:sz w:val="21"/>
                <w:szCs w:val="21"/>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税费规定</w:t>
            </w:r>
          </w:p>
        </w:tc>
        <w:tc>
          <w:tcPr>
            <w:tcW w:w="7185" w:type="dxa"/>
            <w:noWrap w:val="0"/>
            <w:vAlign w:val="center"/>
          </w:tcPr>
          <w:p>
            <w:pPr>
              <w:spacing w:line="360" w:lineRule="auto"/>
              <w:outlineLvl w:val="0"/>
              <w:rPr>
                <w:rFonts w:hint="eastAsia" w:ascii="宋体" w:hAnsi="宋体" w:cs="宋体"/>
                <w:color w:val="000000"/>
                <w:sz w:val="21"/>
                <w:szCs w:val="21"/>
              </w:rPr>
            </w:pPr>
            <w:r>
              <w:rPr>
                <w:rFonts w:hint="eastAsia" w:ascii="宋体" w:hAnsi="宋体" w:cs="宋体"/>
                <w:color w:val="000000"/>
                <w:sz w:val="21"/>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rPr>
            </w:pPr>
            <w:r>
              <w:rPr>
                <w:rFonts w:hint="eastAsia" w:ascii="宋体" w:hAnsi="宋体" w:cs="宋体"/>
                <w:color w:val="000000"/>
                <w:sz w:val="21"/>
                <w:szCs w:val="21"/>
              </w:rPr>
              <w:t>融资服务</w:t>
            </w:r>
          </w:p>
        </w:tc>
        <w:tc>
          <w:tcPr>
            <w:tcW w:w="7185" w:type="dxa"/>
            <w:noWrap w:val="0"/>
            <w:vAlign w:val="bottom"/>
          </w:tcPr>
          <w:p>
            <w:pPr>
              <w:spacing w:line="360" w:lineRule="auto"/>
              <w:rPr>
                <w:rFonts w:hint="eastAsia" w:ascii="宋体" w:hAnsi="宋体" w:cs="宋体"/>
                <w:b/>
                <w:color w:val="000000"/>
                <w:kern w:val="0"/>
                <w:sz w:val="21"/>
                <w:szCs w:val="21"/>
              </w:rPr>
            </w:pPr>
            <w:r>
              <w:rPr>
                <w:rFonts w:hint="eastAsia" w:ascii="宋体" w:hAnsi="宋体" w:cs="宋体"/>
                <w:b/>
                <w:color w:val="000000"/>
                <w:kern w:val="0"/>
                <w:sz w:val="21"/>
                <w:szCs w:val="21"/>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rPr>
            </w:pPr>
            <w:r>
              <w:rPr>
                <w:rFonts w:hint="eastAsia" w:ascii="宋体" w:hAnsi="宋体" w:cs="宋体"/>
                <w:color w:val="000000"/>
                <w:sz w:val="21"/>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rPr>
              <w:t>（具体以销售机构规定为准）</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rPr>
      </w:pPr>
      <w:r>
        <w:rPr>
          <w:rFonts w:hint="eastAsia" w:ascii="宋体" w:hAnsi="宋体"/>
          <w:b/>
          <w:color w:val="000000"/>
        </w:rPr>
        <w:t>特别说明：</w:t>
      </w:r>
      <w:r>
        <w:rPr>
          <w:rFonts w:hint="eastAsia" w:ascii="宋体" w:hAnsi="宋体" w:cs="宋体"/>
          <w:b/>
          <w:color w:val="000000"/>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rPr>
      </w:pPr>
    </w:p>
    <w:p>
      <w:pPr>
        <w:numPr>
          <w:ilvl w:val="0"/>
          <w:numId w:val="19"/>
        </w:numPr>
        <w:spacing w:line="360" w:lineRule="auto"/>
        <w:ind w:firstLine="482" w:firstLineChars="200"/>
        <w:outlineLvl w:val="1"/>
        <w:rPr>
          <w:rFonts w:hint="eastAsia" w:ascii="宋体" w:hAnsi="宋体" w:cs="宋体"/>
          <w:b/>
          <w:color w:val="000000"/>
        </w:rPr>
      </w:pPr>
      <w:r>
        <w:rPr>
          <w:rFonts w:hint="eastAsia" w:ascii="宋体" w:hAnsi="宋体" w:cs="宋体"/>
          <w:b/>
          <w:color w:val="000000"/>
        </w:rPr>
        <w:t>投资管理</w:t>
      </w:r>
    </w:p>
    <w:p>
      <w:pPr>
        <w:numPr>
          <w:ilvl w:val="0"/>
          <w:numId w:val="0"/>
        </w:numPr>
        <w:spacing w:line="360" w:lineRule="auto"/>
        <w:ind w:left="0" w:leftChars="0" w:firstLine="480" w:firstLineChars="200"/>
        <w:outlineLvl w:val="1"/>
        <w:rPr>
          <w:rFonts w:hint="eastAsia" w:ascii="宋体" w:hAnsi="宋体" w:cs="宋体"/>
          <w:b/>
          <w:color w:val="000000"/>
        </w:rPr>
      </w:pPr>
      <w:r>
        <w:rPr>
          <w:rFonts w:hint="eastAsia" w:ascii="宋体" w:hAnsi="宋体" w:cs="宋体"/>
          <w:bCs/>
          <w:color w:val="auto"/>
          <w:kern w:val="2"/>
        </w:rPr>
        <w:t>本理财计划自成立日起〖3〗个月为建仓期，管理人应当在建仓期结束前使各项投资比例符合约定。</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投资范围</w:t>
      </w:r>
    </w:p>
    <w:p>
      <w:pPr>
        <w:spacing w:line="360" w:lineRule="auto"/>
        <w:ind w:firstLine="480" w:firstLineChars="200"/>
        <w:jc w:val="left"/>
        <w:rPr>
          <w:rFonts w:hint="eastAsia" w:ascii="宋体" w:hAnsi="宋体" w:cs="宋体"/>
          <w:bCs/>
        </w:rPr>
      </w:pPr>
      <w:r>
        <w:rPr>
          <w:rFonts w:hint="eastAsia" w:ascii="宋体" w:hAnsi="宋体" w:cs="宋体"/>
          <w:bCs/>
        </w:rPr>
        <w:t>本理财计划为固定收益类，全部投资于以下符合监管要求的金融工具：</w:t>
      </w:r>
    </w:p>
    <w:p>
      <w:pPr>
        <w:spacing w:line="360" w:lineRule="auto"/>
        <w:ind w:firstLine="480" w:firstLineChars="200"/>
        <w:jc w:val="left"/>
        <w:rPr>
          <w:rFonts w:hint="eastAsia" w:ascii="宋体" w:hAnsi="宋体" w:cs="宋体"/>
          <w:bCs/>
        </w:rPr>
      </w:pPr>
      <w:r>
        <w:rPr>
          <w:rFonts w:hint="eastAsia" w:ascii="宋体" w:hAnsi="宋体" w:cs="宋体"/>
          <w:bCs/>
        </w:rPr>
        <w:t>固定收益类资产：</w:t>
      </w:r>
    </w:p>
    <w:p>
      <w:pPr>
        <w:numPr>
          <w:ilvl w:val="0"/>
          <w:numId w:val="21"/>
        </w:numPr>
        <w:spacing w:line="360" w:lineRule="auto"/>
        <w:ind w:left="480" w:leftChars="200"/>
        <w:jc w:val="left"/>
        <w:rPr>
          <w:rFonts w:hint="eastAsia" w:ascii="宋体" w:hAnsi="宋体" w:cs="宋体"/>
          <w:bCs/>
        </w:rPr>
      </w:pPr>
      <w:r>
        <w:rPr>
          <w:rFonts w:hint="eastAsia" w:ascii="宋体" w:hAnsi="宋体" w:cs="宋体"/>
          <w:bCs/>
        </w:rPr>
        <w:t>现金；</w:t>
      </w:r>
    </w:p>
    <w:p>
      <w:pPr>
        <w:numPr>
          <w:ilvl w:val="0"/>
          <w:numId w:val="21"/>
        </w:numPr>
        <w:spacing w:line="360" w:lineRule="auto"/>
        <w:ind w:left="480" w:leftChars="200"/>
        <w:jc w:val="left"/>
        <w:rPr>
          <w:rFonts w:hint="eastAsia" w:ascii="宋体" w:hAnsi="宋体" w:cs="宋体"/>
          <w:bCs/>
        </w:rPr>
      </w:pPr>
      <w:r>
        <w:rPr>
          <w:rFonts w:hint="eastAsia" w:ascii="宋体" w:hAnsi="宋体" w:cs="宋体"/>
          <w:bCs/>
        </w:rPr>
        <w:t>期限在1年以内（含1年）的银行存款、债券回购、中央银行票据、同业存单；</w:t>
      </w:r>
    </w:p>
    <w:p>
      <w:pPr>
        <w:numPr>
          <w:ilvl w:val="0"/>
          <w:numId w:val="21"/>
        </w:numPr>
        <w:spacing w:line="360" w:lineRule="auto"/>
        <w:ind w:left="480" w:leftChars="200"/>
        <w:jc w:val="left"/>
        <w:rPr>
          <w:rFonts w:hint="eastAsia" w:ascii="宋体" w:hAnsi="宋体" w:cs="宋体"/>
          <w:bCs/>
        </w:rPr>
      </w:pPr>
      <w:r>
        <w:rPr>
          <w:rFonts w:hint="eastAsia" w:ascii="宋体" w:hAnsi="宋体" w:cs="宋体"/>
          <w:bCs/>
        </w:rPr>
        <w:t>剩余期限在397天以内（含397天）的债券、在银行间市场和证券交易所市场发行的资产支持证券；</w:t>
      </w:r>
    </w:p>
    <w:p>
      <w:pPr>
        <w:numPr>
          <w:ilvl w:val="0"/>
          <w:numId w:val="21"/>
        </w:numPr>
        <w:spacing w:line="360" w:lineRule="auto"/>
        <w:ind w:left="480" w:leftChars="200"/>
        <w:jc w:val="left"/>
        <w:rPr>
          <w:rFonts w:ascii="宋体" w:hAnsi="宋体" w:cs="宋体"/>
          <w:bCs/>
        </w:rPr>
      </w:pPr>
      <w:r>
        <w:rPr>
          <w:rFonts w:hint="eastAsia" w:ascii="宋体" w:hAnsi="宋体" w:cs="宋体"/>
          <w:bCs/>
        </w:rPr>
        <w:t>国家金融监督管理总局、中国人民银行认可的其他具有良好流动性的货币市场工具。</w:t>
      </w:r>
    </w:p>
    <w:p>
      <w:pPr>
        <w:spacing w:line="360" w:lineRule="auto"/>
        <w:jc w:val="left"/>
        <w:rPr>
          <w:rFonts w:hint="eastAsia" w:ascii="宋体" w:hAnsi="宋体" w:cs="宋体"/>
          <w:bCs/>
        </w:rPr>
      </w:pPr>
      <w:r>
        <w:rPr>
          <w:rFonts w:hint="eastAsia" w:ascii="宋体" w:hAnsi="宋体" w:cs="宋体"/>
          <w:bCs/>
        </w:rPr>
        <w:t xml:space="preserve"> </w:t>
      </w:r>
      <w:r>
        <w:rPr>
          <w:rFonts w:ascii="宋体" w:hAnsi="宋体" w:cs="宋体"/>
          <w:bCs/>
        </w:rPr>
        <w:t xml:space="preserve">   </w:t>
      </w:r>
      <w:r>
        <w:rPr>
          <w:rFonts w:hint="eastAsia"/>
        </w:rPr>
        <w:t>本理财计划理财资金可直接或通过信托计划、资产管理计划等资产管理产品间接投资于以上金融资产和金融工具。</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投资比例</w:t>
      </w:r>
    </w:p>
    <w:p>
      <w:pPr>
        <w:spacing w:line="360" w:lineRule="auto"/>
        <w:ind w:firstLine="480" w:firstLineChars="200"/>
        <w:jc w:val="left"/>
        <w:rPr>
          <w:rFonts w:hint="eastAsia" w:ascii="宋体" w:hAnsi="宋体" w:cs="宋体"/>
          <w:bCs/>
        </w:rPr>
      </w:pPr>
      <w:r>
        <w:rPr>
          <w:rFonts w:hint="eastAsia" w:ascii="宋体" w:hAnsi="宋体" w:cs="宋体"/>
          <w:bCs/>
        </w:rPr>
        <w:t>本理财计划各投资资产占总资产的配置比例如下：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rPr>
                <w:rFonts w:ascii="宋体" w:hAnsi="宋体" w:cs="宋体"/>
                <w:bCs/>
                <w:sz w:val="21"/>
                <w:szCs w:val="21"/>
              </w:rPr>
            </w:pPr>
          </w:p>
        </w:tc>
        <w:tc>
          <w:tcPr>
            <w:tcW w:w="4740" w:type="dxa"/>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投资资产</w:t>
            </w:r>
          </w:p>
        </w:tc>
        <w:tc>
          <w:tcPr>
            <w:tcW w:w="1996" w:type="dxa"/>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大类资产类型</w:t>
            </w:r>
          </w:p>
        </w:tc>
        <w:tc>
          <w:tcPr>
            <w:tcW w:w="4740" w:type="dxa"/>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固定收益类资产</w:t>
            </w:r>
          </w:p>
        </w:tc>
        <w:tc>
          <w:tcPr>
            <w:tcW w:w="1996"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 w:val="21"/>
                <w:szCs w:val="21"/>
              </w:rPr>
            </w:pPr>
          </w:p>
        </w:tc>
        <w:tc>
          <w:tcPr>
            <w:tcW w:w="4740" w:type="dxa"/>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权益类资产</w:t>
            </w:r>
          </w:p>
        </w:tc>
        <w:tc>
          <w:tcPr>
            <w:tcW w:w="1996"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特殊资产类型</w:t>
            </w:r>
          </w:p>
        </w:tc>
        <w:tc>
          <w:tcPr>
            <w:tcW w:w="4740" w:type="dxa"/>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非标准化债权类资产</w:t>
            </w:r>
          </w:p>
        </w:tc>
        <w:tc>
          <w:tcPr>
            <w:tcW w:w="1996" w:type="dxa"/>
            <w:noWrap w:val="0"/>
            <w:vAlign w:val="center"/>
          </w:tcPr>
          <w:p>
            <w:pPr>
              <w:spacing w:line="360" w:lineRule="auto"/>
              <w:jc w:val="center"/>
              <w:rPr>
                <w:rFonts w:hint="eastAsia" w:ascii="宋体" w:hAnsi="宋体" w:cs="宋体"/>
                <w:bCs/>
                <w:sz w:val="21"/>
                <w:szCs w:val="21"/>
              </w:rPr>
            </w:pPr>
            <w:r>
              <w:rPr>
                <w:rFonts w:hint="eastAsia" w:ascii="宋体" w:hAnsi="宋体" w:cs="宋体"/>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top"/>
          </w:tcPr>
          <w:p>
            <w:pPr>
              <w:spacing w:line="360" w:lineRule="auto"/>
              <w:jc w:val="left"/>
              <w:rPr>
                <w:rFonts w:ascii="宋体" w:hAnsi="宋体" w:cs="宋体"/>
                <w:bCs/>
                <w:sz w:val="21"/>
                <w:szCs w:val="21"/>
              </w:rPr>
            </w:pPr>
          </w:p>
        </w:tc>
        <w:tc>
          <w:tcPr>
            <w:tcW w:w="4740" w:type="dxa"/>
            <w:noWrap w:val="0"/>
            <w:vAlign w:val="top"/>
          </w:tcPr>
          <w:p>
            <w:pPr>
              <w:spacing w:line="360" w:lineRule="auto"/>
              <w:jc w:val="left"/>
              <w:rPr>
                <w:rFonts w:hint="eastAsia" w:ascii="宋体" w:hAnsi="宋体" w:cs="宋体"/>
                <w:bCs/>
                <w:sz w:val="21"/>
                <w:szCs w:val="21"/>
              </w:rPr>
            </w:pPr>
            <w:r>
              <w:rPr>
                <w:rFonts w:hint="eastAsia" w:ascii="宋体" w:cs="宋体"/>
                <w:sz w:val="21"/>
                <w:szCs w:val="21"/>
              </w:rPr>
              <w:t>未通过结构化设计、担保、对冲等方式明显降低资产风险的上市公司股票、股票型或混合型证券投资基金</w:t>
            </w:r>
          </w:p>
        </w:tc>
        <w:tc>
          <w:tcPr>
            <w:tcW w:w="1996" w:type="dxa"/>
            <w:noWrap w:val="0"/>
            <w:vAlign w:val="center"/>
          </w:tcPr>
          <w:p>
            <w:pPr>
              <w:spacing w:line="360" w:lineRule="auto"/>
              <w:jc w:val="center"/>
              <w:rPr>
                <w:rFonts w:hint="eastAsia" w:ascii="宋体" w:hAnsi="宋体" w:cs="宋体"/>
                <w:bCs/>
                <w:sz w:val="21"/>
                <w:szCs w:val="21"/>
              </w:rPr>
            </w:pPr>
            <w:r>
              <w:rPr>
                <w:rFonts w:hint="eastAsia" w:ascii="宋体" w:hAnsi="宋体" w:cs="宋体"/>
                <w:bCs/>
                <w:sz w:val="21"/>
                <w:szCs w:val="21"/>
              </w:rPr>
              <w:t>0%</w:t>
            </w:r>
          </w:p>
        </w:tc>
      </w:tr>
    </w:tbl>
    <w:p>
      <w:pPr>
        <w:pStyle w:val="17"/>
        <w:adjustRightInd/>
        <w:spacing w:line="360" w:lineRule="auto"/>
        <w:ind w:firstLine="456" w:firstLineChars="190"/>
        <w:rPr>
          <w:rFonts w:hint="eastAsia" w:ascii="宋体" w:hAnsi="宋体" w:cs="宋体"/>
          <w:bCs/>
          <w:color w:val="auto"/>
          <w:kern w:val="2"/>
        </w:rPr>
      </w:pPr>
      <w:r>
        <w:rPr>
          <w:rFonts w:hint="eastAsia" w:ascii="宋体" w:hAnsi="宋体" w:cs="宋体"/>
          <w:bCs/>
          <w:color w:val="auto"/>
          <w:kern w:val="2"/>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投资策略</w:t>
      </w:r>
    </w:p>
    <w:p>
      <w:pPr>
        <w:pStyle w:val="17"/>
        <w:numPr>
          <w:ilvl w:val="0"/>
          <w:numId w:val="22"/>
        </w:numPr>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资产配置策略</w:t>
      </w:r>
    </w:p>
    <w:p>
      <w:pPr>
        <w:pStyle w:val="17"/>
        <w:adjustRightInd/>
        <w:spacing w:line="360" w:lineRule="auto"/>
        <w:ind w:firstLine="480" w:firstLineChars="200"/>
        <w:rPr>
          <w:rFonts w:ascii="宋体" w:cs="宋体"/>
          <w:sz w:val="21"/>
          <w:szCs w:val="21"/>
        </w:rPr>
      </w:pPr>
      <w:r>
        <w:rPr>
          <w:rFonts w:hint="eastAsia" w:ascii="宋体" w:hAnsi="宋体" w:cs="宋体"/>
          <w:bCs/>
          <w:color w:val="auto"/>
          <w:kern w:val="2"/>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3"/>
        </w:numPr>
        <w:spacing w:line="360" w:lineRule="auto"/>
        <w:ind w:firstLine="480" w:firstLineChars="200"/>
        <w:jc w:val="left"/>
        <w:rPr>
          <w:rFonts w:hint="eastAsia" w:ascii="宋体" w:hAnsi="宋体" w:cs="宋体"/>
          <w:bCs/>
        </w:rPr>
      </w:pPr>
      <w:r>
        <w:rPr>
          <w:rFonts w:hint="eastAsia" w:ascii="宋体" w:hAnsi="宋体" w:cs="宋体"/>
          <w:bCs/>
        </w:rPr>
        <w:t>债券投资策略</w:t>
      </w:r>
    </w:p>
    <w:p>
      <w:pPr>
        <w:pStyle w:val="17"/>
        <w:adjustRightInd/>
        <w:spacing w:line="360" w:lineRule="auto"/>
        <w:ind w:firstLine="480" w:firstLineChars="200"/>
        <w:rPr>
          <w:rFonts w:hint="eastAsia" w:ascii="宋体" w:hAnsi="宋体" w:cs="宋体"/>
          <w:bCs/>
        </w:rPr>
      </w:pPr>
      <w:r>
        <w:rPr>
          <w:rFonts w:hint="eastAsia" w:ascii="宋体" w:hAnsi="宋体" w:cs="宋体"/>
          <w:bCs/>
          <w:color w:val="auto"/>
          <w:kern w:val="2"/>
        </w:rPr>
        <w:t>管理人本着稳健投资的理念，采用安全性和流动性优先的投资策略，在资产配置中以较大比例配置投资级别的债券、回购、存放同业等资产，通过组合管理实现稳健收益。</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投资限制</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投向限制</w:t>
      </w:r>
    </w:p>
    <w:p>
      <w:pPr>
        <w:spacing w:line="360" w:lineRule="auto"/>
        <w:ind w:left="480" w:leftChars="200"/>
        <w:jc w:val="left"/>
        <w:rPr>
          <w:rFonts w:hint="eastAsia" w:ascii="宋体" w:hAnsi="宋体" w:cs="宋体"/>
          <w:bCs/>
        </w:rPr>
      </w:pPr>
      <w:r>
        <w:rPr>
          <w:rFonts w:hint="eastAsia" w:ascii="宋体" w:hAnsi="宋体" w:cs="宋体"/>
          <w:bCs/>
        </w:rPr>
        <w:t>本理财计划不得投资于以下金融工具：</w:t>
      </w:r>
    </w:p>
    <w:p>
      <w:pPr>
        <w:numPr>
          <w:ilvl w:val="0"/>
          <w:numId w:val="25"/>
        </w:numPr>
        <w:spacing w:line="360" w:lineRule="auto"/>
        <w:ind w:left="480" w:leftChars="200"/>
        <w:jc w:val="left"/>
        <w:rPr>
          <w:rFonts w:hint="eastAsia" w:ascii="宋体" w:hAnsi="宋体" w:cs="宋体"/>
          <w:bCs/>
        </w:rPr>
      </w:pPr>
      <w:r>
        <w:rPr>
          <w:rFonts w:hint="eastAsia" w:ascii="宋体" w:hAnsi="宋体" w:cs="宋体"/>
          <w:bCs/>
        </w:rPr>
        <w:t>股票；</w:t>
      </w:r>
    </w:p>
    <w:p>
      <w:pPr>
        <w:numPr>
          <w:ilvl w:val="0"/>
          <w:numId w:val="25"/>
        </w:numPr>
        <w:spacing w:line="360" w:lineRule="auto"/>
        <w:ind w:left="480" w:leftChars="200"/>
        <w:jc w:val="left"/>
        <w:rPr>
          <w:rFonts w:hint="eastAsia" w:ascii="宋体" w:hAnsi="宋体" w:cs="宋体"/>
          <w:bCs/>
        </w:rPr>
      </w:pPr>
      <w:r>
        <w:rPr>
          <w:rFonts w:hint="eastAsia" w:ascii="宋体" w:hAnsi="宋体" w:cs="宋体"/>
          <w:bCs/>
        </w:rPr>
        <w:t>可转换债券、可交换债券；</w:t>
      </w:r>
    </w:p>
    <w:p>
      <w:pPr>
        <w:spacing w:line="360" w:lineRule="auto"/>
        <w:ind w:firstLine="480" w:firstLineChars="200"/>
        <w:jc w:val="left"/>
        <w:rPr>
          <w:rFonts w:hint="eastAsia" w:ascii="宋体" w:hAnsi="宋体" w:cs="宋体"/>
          <w:bCs/>
        </w:rPr>
      </w:pPr>
      <w:r>
        <w:rPr>
          <w:rFonts w:hint="eastAsia" w:ascii="宋体" w:hAnsi="宋体" w:cs="宋体"/>
          <w:bCs/>
        </w:rPr>
        <w:t>（3）以定期存款利率为基准利率的浮动利率债券，已进入最后一个利率调整期的除外；</w:t>
      </w:r>
    </w:p>
    <w:p>
      <w:pPr>
        <w:spacing w:line="360" w:lineRule="auto"/>
        <w:ind w:firstLine="480" w:firstLineChars="200"/>
        <w:jc w:val="left"/>
        <w:rPr>
          <w:rFonts w:hint="eastAsia" w:ascii="宋体" w:hAnsi="宋体" w:cs="宋体"/>
          <w:bCs/>
        </w:rPr>
      </w:pPr>
      <w:r>
        <w:rPr>
          <w:rFonts w:hint="eastAsia" w:ascii="宋体" w:hAnsi="宋体" w:cs="宋体"/>
          <w:bCs/>
        </w:rPr>
        <w:t>（4）信用等级在AA+以下的债券、资产支持证券；</w:t>
      </w:r>
    </w:p>
    <w:p>
      <w:pPr>
        <w:spacing w:line="360" w:lineRule="auto"/>
        <w:ind w:firstLine="480" w:firstLineChars="200"/>
        <w:jc w:val="left"/>
        <w:rPr>
          <w:rFonts w:hint="eastAsia" w:ascii="宋体" w:hAnsi="宋体" w:cs="宋体"/>
          <w:bCs/>
        </w:rPr>
      </w:pPr>
      <w:r>
        <w:rPr>
          <w:rFonts w:hint="eastAsia" w:ascii="宋体" w:hAnsi="宋体" w:cs="宋体"/>
          <w:bCs/>
        </w:rPr>
        <w:t>（5）国家金融监督管理总局、中国人民银行禁止投资的其它金融工具。</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投资集中度限制</w:t>
      </w:r>
    </w:p>
    <w:p>
      <w:pPr>
        <w:numPr>
          <w:ilvl w:val="0"/>
          <w:numId w:val="26"/>
        </w:numPr>
        <w:spacing w:line="360" w:lineRule="auto"/>
        <w:ind w:firstLine="480"/>
        <w:jc w:val="left"/>
        <w:rPr>
          <w:rFonts w:ascii="宋体" w:hAnsi="宋体" w:cs="宋体"/>
          <w:bCs/>
        </w:rPr>
      </w:pPr>
      <w:r>
        <w:rPr>
          <w:rFonts w:hint="eastAsia" w:ascii="宋体" w:hAnsi="宋体" w:cs="宋体"/>
          <w:bCs/>
        </w:rPr>
        <w:t>本理财计划持有单只证券或单只公募证券投资基金的市值不得超过该理财计划净资产的10%。</w:t>
      </w:r>
    </w:p>
    <w:p>
      <w:pPr>
        <w:numPr>
          <w:ilvl w:val="0"/>
          <w:numId w:val="26"/>
        </w:numPr>
        <w:spacing w:line="360" w:lineRule="auto"/>
        <w:ind w:firstLine="480" w:firstLineChars="200"/>
        <w:jc w:val="left"/>
        <w:rPr>
          <w:rFonts w:hint="eastAsia" w:ascii="宋体" w:hAnsi="宋体" w:cs="宋体"/>
          <w:bCs/>
        </w:rPr>
      </w:pPr>
      <w:r>
        <w:rPr>
          <w:rFonts w:hint="eastAsia" w:ascii="宋体" w:hAnsi="宋体" w:cs="宋体"/>
          <w:bCs/>
          <w:color w:val="000000"/>
        </w:rPr>
        <w:t>本理</w:t>
      </w:r>
      <w:r>
        <w:rPr>
          <w:rFonts w:hint="eastAsia" w:ascii="宋体" w:hAnsi="宋体" w:cs="宋体"/>
          <w:bCs/>
        </w:rPr>
        <w:t>财计划投资于同一机构发行的债券及其作为原始权益人的资产支持证券的比例合计</w:t>
      </w:r>
      <w:r>
        <w:rPr>
          <w:rFonts w:ascii="宋体" w:hAnsi="宋体" w:cs="宋体"/>
          <w:bCs/>
        </w:rPr>
        <w:t>不得超过该理财</w:t>
      </w:r>
      <w:r>
        <w:rPr>
          <w:rFonts w:hint="eastAsia" w:ascii="宋体" w:hAnsi="宋体" w:cs="宋体"/>
          <w:bCs/>
        </w:rPr>
        <w:t>计划</w:t>
      </w:r>
      <w:r>
        <w:rPr>
          <w:rFonts w:ascii="宋体" w:hAnsi="宋体" w:cs="宋体"/>
          <w:bCs/>
        </w:rPr>
        <w:t>净资产</w:t>
      </w:r>
      <w:r>
        <w:rPr>
          <w:rFonts w:hint="eastAsia" w:ascii="宋体" w:hAnsi="宋体" w:cs="宋体"/>
          <w:bCs/>
        </w:rPr>
        <w:t>的</w:t>
      </w:r>
      <w:r>
        <w:rPr>
          <w:rFonts w:ascii="宋体" w:hAnsi="宋体" w:cs="宋体"/>
          <w:bCs/>
        </w:rPr>
        <w:t>10%</w:t>
      </w:r>
      <w:r>
        <w:rPr>
          <w:rFonts w:hint="eastAsia" w:ascii="宋体" w:hAnsi="宋体" w:cs="宋体"/>
          <w:bCs/>
        </w:rPr>
        <w:t>，投资于国债、中央银行票据、政策性金融债券的除外。</w:t>
      </w:r>
    </w:p>
    <w:p>
      <w:pPr>
        <w:numPr>
          <w:ilvl w:val="0"/>
          <w:numId w:val="26"/>
        </w:numPr>
        <w:spacing w:line="360" w:lineRule="auto"/>
        <w:ind w:firstLine="480" w:firstLineChars="200"/>
        <w:jc w:val="left"/>
        <w:rPr>
          <w:rFonts w:ascii="宋体" w:hAnsi="宋体" w:cs="宋体"/>
          <w:bCs/>
        </w:rPr>
      </w:pPr>
      <w:r>
        <w:rPr>
          <w:rFonts w:hint="eastAsia" w:ascii="宋体" w:hAnsi="宋体" w:cs="宋体"/>
          <w:bCs/>
        </w:rPr>
        <w:t>管理人发行的全部公募理财计划持有单只证券或单只公募证券投资基金的市值，不得超过该证券市值或该公募证券投资基金市值的30%。</w:t>
      </w:r>
    </w:p>
    <w:p>
      <w:pPr>
        <w:numPr>
          <w:ilvl w:val="0"/>
          <w:numId w:val="26"/>
        </w:numPr>
        <w:spacing w:line="360" w:lineRule="auto"/>
        <w:ind w:firstLine="480" w:firstLineChars="200"/>
        <w:jc w:val="left"/>
        <w:rPr>
          <w:rFonts w:ascii="宋体" w:hAnsi="宋体" w:cs="宋体"/>
          <w:bCs/>
        </w:rPr>
      </w:pPr>
      <w:r>
        <w:rPr>
          <w:rFonts w:hint="eastAsia" w:ascii="宋体" w:hAnsi="宋体" w:cs="宋体"/>
          <w:bCs/>
        </w:rPr>
        <w:t>本理财计划投资于所有主体信用评级低于AAA的机构发行的金融工具的比例合计不得超过该理财计划净资产的10%，其中单一机构发行的金融工具的比例合计不得超过该理财计划净资产的2%；本款所称金融工具包括债券、银行存款、同业存单、相关机构作为原始权益人的资产支持证券及国家金融监督管理总局认可的其他金融工具。</w:t>
      </w:r>
    </w:p>
    <w:p>
      <w:pPr>
        <w:numPr>
          <w:ilvl w:val="0"/>
          <w:numId w:val="26"/>
        </w:numPr>
        <w:spacing w:line="360" w:lineRule="auto"/>
        <w:ind w:firstLine="480" w:firstLineChars="200"/>
        <w:jc w:val="left"/>
        <w:rPr>
          <w:rFonts w:ascii="宋体" w:hAnsi="宋体" w:cs="宋体"/>
          <w:bCs/>
        </w:rPr>
      </w:pPr>
      <w:r>
        <w:rPr>
          <w:rFonts w:hint="eastAsia" w:ascii="宋体" w:hAnsi="宋体" w:cs="宋体"/>
          <w:bCs/>
        </w:rPr>
        <w:t>本理财计划投资于有固定期限银行存款的比例合计不得超过该理财计划净资产的30%，投资于有存款期限，根据协议可提前支取的银行存款除外；本理财计划投资于主体信用评级为AAA的同一商业银行的银行存款、同业存单占该理财计划净资产的比例合计不得超过20%</w:t>
      </w:r>
      <w:r>
        <w:rPr>
          <w:rFonts w:hint="eastAsia" w:ascii="宋体" w:hAnsi="宋体"/>
        </w:rPr>
        <w:t>。</w:t>
      </w:r>
    </w:p>
    <w:p>
      <w:pPr>
        <w:numPr>
          <w:ilvl w:val="0"/>
          <w:numId w:val="26"/>
        </w:numPr>
        <w:spacing w:line="360" w:lineRule="auto"/>
        <w:ind w:firstLine="480" w:firstLineChars="200"/>
        <w:jc w:val="left"/>
        <w:rPr>
          <w:rFonts w:ascii="宋体" w:hAnsi="宋体" w:cs="宋体"/>
          <w:bCs/>
        </w:rPr>
      </w:pPr>
      <w:r>
        <w:rPr>
          <w:rFonts w:hint="eastAsia" w:ascii="宋体" w:hAnsi="宋体" w:cs="宋体"/>
          <w:bCs/>
        </w:rPr>
        <w:t>本理财计划投资于同一商业银行的存款、同业存单和债券，不得超过该商业银行最近一个季度末净资产的10%。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rPr>
      </w:pPr>
      <w:r>
        <w:rPr>
          <w:rFonts w:hint="eastAsia" w:ascii="宋体" w:hAnsi="宋体" w:cs="宋体"/>
          <w:bCs/>
        </w:rPr>
        <w:t>国务院银行业监督管理机构另有规定的除外。</w:t>
      </w:r>
    </w:p>
    <w:p>
      <w:pPr>
        <w:spacing w:line="360" w:lineRule="auto"/>
        <w:ind w:firstLine="480" w:firstLineChars="200"/>
        <w:jc w:val="left"/>
        <w:rPr>
          <w:rFonts w:hint="eastAsia" w:ascii="宋体" w:hAnsi="宋体" w:cs="宋体"/>
          <w:bCs/>
        </w:rPr>
      </w:pPr>
      <w:r>
        <w:rPr>
          <w:rFonts w:hint="eastAsia" w:ascii="宋体" w:hAnsi="宋体" w:cs="宋体"/>
          <w:bCs/>
        </w:rPr>
        <w:t>非因管理人主观因素导致突破前款各项比例限制的，管理人应当在10个交易日内调整至符合要求，国家金融监督管理总局规定的特殊情形除外。</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投资期限限制</w:t>
      </w:r>
    </w:p>
    <w:p>
      <w:pPr>
        <w:spacing w:line="360" w:lineRule="auto"/>
        <w:ind w:firstLine="480" w:firstLineChars="200"/>
        <w:jc w:val="left"/>
        <w:rPr>
          <w:rFonts w:hint="eastAsia" w:ascii="宋体" w:hAnsi="宋体" w:cs="宋体"/>
          <w:bCs/>
        </w:rPr>
      </w:pPr>
      <w:r>
        <w:rPr>
          <w:rFonts w:hint="eastAsia" w:ascii="宋体" w:hAnsi="宋体" w:cs="宋体"/>
          <w:bCs/>
        </w:rPr>
        <w:t>本理财计划投资组合的平均剩余期限不得超过120天，平均剩余存续期限不得超过240天。</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投资杠杆率限制</w:t>
      </w:r>
    </w:p>
    <w:p>
      <w:pPr>
        <w:spacing w:line="360" w:lineRule="auto"/>
        <w:ind w:firstLine="480" w:firstLineChars="200"/>
        <w:jc w:val="left"/>
        <w:rPr>
          <w:rFonts w:hint="eastAsia" w:ascii="宋体" w:hAnsi="宋体" w:cs="宋体"/>
          <w:bCs/>
        </w:rPr>
      </w:pPr>
      <w:r>
        <w:rPr>
          <w:rFonts w:hint="eastAsia" w:ascii="宋体" w:hAnsi="宋体" w:cs="宋体"/>
          <w:bCs/>
        </w:rPr>
        <w:t>本理财计划的总资产不得超过净资产的120%，发生巨额赎回、连续3个交易日累计赎回20%以上或者连续5个交易日累计赎回30%以上的情形除外。非因管理人主观因素导致突破该条比例限制的，管理人应当在10个交易日内调整至符合要求。</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流动性限制</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本理财计划应持有不低于该理财计划净资产5%的现金或者到期日在一年以内的国债、中央银行票据、政策性金融债券。</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本理财计划应持有不低于该理财计划净资产10%的现金、国债、中央银行票据、政策性金融债券以及五个交易日内到期的其他金融工具。</w:t>
      </w:r>
    </w:p>
    <w:p>
      <w:pPr>
        <w:numPr>
          <w:ilvl w:val="0"/>
          <w:numId w:val="27"/>
        </w:numPr>
        <w:spacing w:line="360" w:lineRule="auto"/>
        <w:ind w:firstLine="480" w:firstLineChars="200"/>
        <w:jc w:val="left"/>
        <w:rPr>
          <w:rFonts w:ascii="宋体" w:hAnsi="宋体" w:cs="宋体"/>
          <w:bCs/>
        </w:rPr>
      </w:pPr>
      <w:r>
        <w:rPr>
          <w:rFonts w:hint="eastAsia" w:ascii="宋体" w:hAnsi="宋体" w:cs="宋体"/>
          <w:bCs/>
        </w:rPr>
        <w:t>本理财计划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该产品资产净值的10%。非管理人主观因素导致突破该条比例限制的，管理人不得主动新增流动性受限资产的投资。</w:t>
      </w:r>
    </w:p>
    <w:p>
      <w:pPr>
        <w:spacing w:line="360" w:lineRule="auto"/>
        <w:ind w:firstLine="480" w:firstLineChars="200"/>
        <w:jc w:val="left"/>
        <w:rPr>
          <w:rFonts w:ascii="宋体" w:hAnsi="宋体" w:cs="宋体"/>
          <w:bCs/>
        </w:rPr>
      </w:pPr>
      <w:r>
        <w:rPr>
          <w:rFonts w:hint="eastAsia" w:ascii="宋体" w:hAnsi="宋体" w:cs="宋体"/>
          <w:bCs/>
        </w:rPr>
        <w:t>非因管理人主观因素导致突破前款各项比例限制的，管理人应当在10个交易日内调整至符合要求，国家金融监督管理总局规定的特殊情形除外。</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其他投资限制</w:t>
      </w:r>
    </w:p>
    <w:p>
      <w:pPr>
        <w:spacing w:line="360" w:lineRule="auto"/>
        <w:ind w:firstLine="480" w:firstLineChars="200"/>
        <w:jc w:val="left"/>
        <w:rPr>
          <w:rFonts w:hint="eastAsia" w:ascii="宋体" w:hAnsi="宋体" w:cs="宋体"/>
          <w:bCs/>
        </w:rPr>
      </w:pPr>
      <w:r>
        <w:rPr>
          <w:rFonts w:hint="eastAsia" w:ascii="宋体" w:hAnsi="宋体" w:cs="宋体"/>
          <w:bCs/>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rPr>
        <w:fldChar w:fldCharType="begin"/>
      </w:r>
      <w:r>
        <w:rPr>
          <w:rFonts w:ascii="宋体" w:hAnsi="宋体" w:cs="宋体"/>
          <w:bCs/>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资产支持证券</w:t>
      </w:r>
      <w:r>
        <w:rPr>
          <w:rFonts w:ascii="宋体" w:hAnsi="宋体" w:cs="宋体"/>
          <w:bCs/>
        </w:rPr>
        <w:fldChar w:fldCharType="end"/>
      </w:r>
      <w:r>
        <w:rPr>
          <w:rFonts w:hint="eastAsia" w:ascii="宋体" w:hAnsi="宋体" w:cs="宋体"/>
          <w:bCs/>
        </w:rPr>
        <w:t>，不得直接或间接投资于未上市公司股权及其受（收）益权。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拟投资市场、资产的流动性风险评估</w:t>
      </w:r>
    </w:p>
    <w:p>
      <w:pPr>
        <w:spacing w:line="360" w:lineRule="auto"/>
        <w:ind w:firstLine="480" w:firstLineChars="200"/>
        <w:jc w:val="left"/>
        <w:rPr>
          <w:rFonts w:hint="eastAsia" w:ascii="宋体" w:hAnsi="宋体" w:cs="宋体"/>
          <w:bCs/>
        </w:rPr>
      </w:pPr>
      <w:r>
        <w:rPr>
          <w:rFonts w:hint="eastAsia" w:ascii="宋体" w:hAnsi="宋体" w:cs="宋体"/>
          <w:bCs/>
        </w:rPr>
        <w:t>本理财计划拟投资市场可能面临的流动性风险如下：</w:t>
      </w:r>
    </w:p>
    <w:p>
      <w:pPr>
        <w:spacing w:line="360" w:lineRule="auto"/>
        <w:ind w:firstLine="480" w:firstLineChars="200"/>
        <w:jc w:val="left"/>
        <w:rPr>
          <w:rFonts w:hint="eastAsia" w:ascii="宋体" w:hAnsi="宋体" w:cs="宋体"/>
          <w:bCs/>
        </w:rPr>
      </w:pPr>
      <w:r>
        <w:rPr>
          <w:rFonts w:hint="eastAsia" w:ascii="宋体" w:hAnsi="宋体" w:cs="宋体"/>
          <w:bCs/>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rPr>
      </w:pPr>
      <w:r>
        <w:rPr>
          <w:rFonts w:hint="eastAsia" w:ascii="宋体" w:hAnsi="宋体" w:cs="宋体"/>
          <w:bCs/>
        </w:rPr>
        <w:t>以上风险仅为列举性质，未能详尽列明拟投资市场和资产面临的全部流动性风险</w:t>
      </w:r>
      <w:r>
        <w:rPr>
          <w:rFonts w:ascii="宋体" w:hAnsi="宋体" w:cs="宋体"/>
          <w:bCs/>
        </w:rPr>
        <w:t>可能导致投资者投资本金及收益损失</w:t>
      </w:r>
      <w:r>
        <w:rPr>
          <w:rFonts w:hint="eastAsia" w:ascii="宋体" w:hAnsi="宋体" w:cs="宋体"/>
          <w:bCs/>
        </w:rPr>
        <w:t>或延期兑付</w:t>
      </w:r>
      <w:r>
        <w:rPr>
          <w:rFonts w:ascii="宋体" w:hAnsi="宋体" w:cs="宋体"/>
          <w:bCs/>
        </w:rPr>
        <w:t>的所有因素</w:t>
      </w:r>
      <w:r>
        <w:rPr>
          <w:rFonts w:hint="eastAsia" w:ascii="宋体" w:hAnsi="宋体" w:cs="宋体"/>
          <w:bCs/>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合作机构及主要职责</w:t>
      </w:r>
    </w:p>
    <w:p>
      <w:pPr>
        <w:numPr>
          <w:ilvl w:val="0"/>
          <w:numId w:val="29"/>
        </w:numPr>
        <w:spacing w:line="360" w:lineRule="auto"/>
        <w:ind w:firstLine="482" w:firstLineChars="200"/>
        <w:jc w:val="left"/>
        <w:outlineLvl w:val="2"/>
        <w:rPr>
          <w:rFonts w:hint="eastAsia" w:ascii="宋体" w:hAnsi="宋体" w:cs="宋体"/>
          <w:b/>
        </w:rPr>
      </w:pPr>
      <w:r>
        <w:rPr>
          <w:rFonts w:hint="eastAsia" w:ascii="宋体" w:hAnsi="宋体" w:cs="宋体"/>
          <w:b/>
        </w:rPr>
        <w:t>托管人</w:t>
      </w:r>
    </w:p>
    <w:tbl>
      <w:tblPr>
        <w:tblStyle w:val="11"/>
        <w:tblW w:w="7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jc w:val="center"/>
        </w:trPr>
        <w:tc>
          <w:tcPr>
            <w:tcW w:w="174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托管人名称</w:t>
            </w:r>
          </w:p>
        </w:tc>
        <w:tc>
          <w:tcPr>
            <w:tcW w:w="5790" w:type="dxa"/>
            <w:noWrap w:val="0"/>
            <w:vAlign w:val="top"/>
          </w:tcPr>
          <w:p>
            <w:pPr>
              <w:spacing w:line="360" w:lineRule="auto"/>
              <w:jc w:val="left"/>
              <w:rPr>
                <w:rFonts w:ascii="宋体" w:hAnsi="宋体" w:cs="宋体"/>
                <w:bCs/>
                <w:sz w:val="21"/>
                <w:szCs w:val="21"/>
              </w:rPr>
            </w:pPr>
            <w:r>
              <w:rPr>
                <w:rFonts w:hint="eastAsia" w:ascii="宋体" w:hAnsi="宋体" w:cs="宋体"/>
                <w:bCs/>
                <w:sz w:val="21"/>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4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托管人住所</w:t>
            </w:r>
          </w:p>
        </w:tc>
        <w:tc>
          <w:tcPr>
            <w:tcW w:w="5790" w:type="dxa"/>
            <w:noWrap w:val="0"/>
            <w:vAlign w:val="top"/>
          </w:tcPr>
          <w:p>
            <w:pPr>
              <w:spacing w:line="360" w:lineRule="auto"/>
              <w:jc w:val="left"/>
              <w:rPr>
                <w:rFonts w:hint="eastAsia" w:ascii="宋体" w:hAnsi="宋体" w:eastAsia="宋体" w:cs="宋体"/>
                <w:bCs/>
                <w:sz w:val="21"/>
                <w:szCs w:val="21"/>
                <w:lang w:eastAsia="zh-CN"/>
              </w:rPr>
            </w:pPr>
            <w:r>
              <w:rPr>
                <w:rFonts w:hint="eastAsia" w:ascii="宋体" w:hAnsi="宋体" w:cs="宋体"/>
                <w:bCs/>
                <w:sz w:val="21"/>
                <w:szCs w:val="21"/>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74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托管人职责</w:t>
            </w:r>
          </w:p>
        </w:tc>
        <w:tc>
          <w:tcPr>
            <w:tcW w:w="5790" w:type="dxa"/>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rPr>
      </w:pPr>
      <w:r>
        <w:rPr>
          <w:rFonts w:hint="eastAsia" w:ascii="宋体" w:hAnsi="宋体" w:cs="宋体"/>
          <w:b/>
        </w:rPr>
        <w:t>销售机构</w:t>
      </w:r>
    </w:p>
    <w:tbl>
      <w:tblPr>
        <w:tblStyle w:val="11"/>
        <w:tblW w:w="7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689"/>
        <w:gridCol w:w="1068"/>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vMerge w:val="restart"/>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销售机构信息</w:t>
            </w:r>
          </w:p>
        </w:tc>
        <w:tc>
          <w:tcPr>
            <w:tcW w:w="2689" w:type="dxa"/>
            <w:vMerge w:val="restart"/>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杭州银行股份有限公司</w:t>
            </w:r>
          </w:p>
        </w:tc>
        <w:tc>
          <w:tcPr>
            <w:tcW w:w="1068"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住所</w:t>
            </w:r>
          </w:p>
        </w:tc>
        <w:tc>
          <w:tcPr>
            <w:tcW w:w="3083" w:type="dxa"/>
            <w:noWrap w:val="0"/>
            <w:vAlign w:val="center"/>
          </w:tcPr>
          <w:p>
            <w:pPr>
              <w:spacing w:line="360" w:lineRule="auto"/>
              <w:jc w:val="left"/>
              <w:rPr>
                <w:rFonts w:hint="eastAsia" w:ascii="宋体" w:hAnsi="宋体" w:eastAsia="宋体" w:cs="宋体"/>
                <w:bCs/>
                <w:sz w:val="21"/>
                <w:szCs w:val="21"/>
                <w:lang w:eastAsia="zh-CN"/>
              </w:rPr>
            </w:pPr>
            <w:r>
              <w:rPr>
                <w:rFonts w:hint="eastAsia" w:ascii="宋体" w:hAnsi="宋体" w:cs="宋体"/>
                <w:bCs/>
                <w:sz w:val="21"/>
                <w:szCs w:val="21"/>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vMerge w:val="continue"/>
            <w:noWrap w:val="0"/>
            <w:vAlign w:val="top"/>
          </w:tcPr>
          <w:p>
            <w:pPr>
              <w:spacing w:line="360" w:lineRule="auto"/>
              <w:jc w:val="left"/>
              <w:rPr>
                <w:rFonts w:hint="eastAsia" w:ascii="宋体" w:hAnsi="宋体" w:cs="宋体"/>
                <w:bCs/>
                <w:sz w:val="21"/>
                <w:szCs w:val="21"/>
              </w:rPr>
            </w:pPr>
          </w:p>
        </w:tc>
        <w:tc>
          <w:tcPr>
            <w:tcW w:w="2689" w:type="dxa"/>
            <w:vMerge w:val="continue"/>
            <w:noWrap w:val="0"/>
            <w:vAlign w:val="center"/>
          </w:tcPr>
          <w:p>
            <w:pPr>
              <w:spacing w:line="360" w:lineRule="auto"/>
              <w:jc w:val="center"/>
              <w:rPr>
                <w:rFonts w:hint="eastAsia" w:ascii="宋体" w:hAnsi="宋体" w:cs="宋体"/>
                <w:bCs/>
                <w:sz w:val="21"/>
                <w:szCs w:val="21"/>
              </w:rPr>
            </w:pPr>
          </w:p>
        </w:tc>
        <w:tc>
          <w:tcPr>
            <w:tcW w:w="1068"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客服热线</w:t>
            </w:r>
          </w:p>
        </w:tc>
        <w:tc>
          <w:tcPr>
            <w:tcW w:w="3083"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vMerge w:val="continue"/>
            <w:noWrap w:val="0"/>
            <w:vAlign w:val="top"/>
          </w:tcPr>
          <w:p>
            <w:pPr>
              <w:spacing w:line="360" w:lineRule="auto"/>
              <w:jc w:val="left"/>
              <w:rPr>
                <w:rFonts w:hint="eastAsia" w:ascii="宋体" w:hAnsi="宋体" w:cs="宋体"/>
                <w:bCs/>
                <w:sz w:val="21"/>
                <w:szCs w:val="21"/>
              </w:rPr>
            </w:pPr>
          </w:p>
        </w:tc>
        <w:tc>
          <w:tcPr>
            <w:tcW w:w="2689" w:type="dxa"/>
            <w:vMerge w:val="restart"/>
            <w:noWrap w:val="0"/>
            <w:vAlign w:val="center"/>
          </w:tcPr>
          <w:p>
            <w:pPr>
              <w:spacing w:line="360" w:lineRule="auto"/>
              <w:jc w:val="center"/>
              <w:rPr>
                <w:rFonts w:ascii="宋体" w:hAnsi="宋体" w:cs="宋体"/>
                <w:sz w:val="21"/>
                <w:szCs w:val="21"/>
              </w:rPr>
            </w:pPr>
            <w:r>
              <w:rPr>
                <w:rFonts w:hint="eastAsia" w:ascii="宋体" w:hAnsi="宋体" w:cs="宋体"/>
                <w:sz w:val="21"/>
                <w:szCs w:val="21"/>
              </w:rPr>
              <w:t>杭银理财有限责任公司</w:t>
            </w:r>
          </w:p>
        </w:tc>
        <w:tc>
          <w:tcPr>
            <w:tcW w:w="1068"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住所</w:t>
            </w:r>
          </w:p>
        </w:tc>
        <w:tc>
          <w:tcPr>
            <w:tcW w:w="3083"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vMerge w:val="continue"/>
            <w:noWrap w:val="0"/>
            <w:vAlign w:val="top"/>
          </w:tcPr>
          <w:p>
            <w:pPr>
              <w:spacing w:line="360" w:lineRule="auto"/>
              <w:jc w:val="left"/>
              <w:rPr>
                <w:rFonts w:hint="eastAsia" w:ascii="宋体" w:hAnsi="宋体" w:cs="宋体"/>
                <w:bCs/>
                <w:sz w:val="21"/>
                <w:szCs w:val="21"/>
              </w:rPr>
            </w:pPr>
          </w:p>
        </w:tc>
        <w:tc>
          <w:tcPr>
            <w:tcW w:w="2689" w:type="dxa"/>
            <w:vMerge w:val="continue"/>
            <w:noWrap w:val="0"/>
            <w:vAlign w:val="center"/>
          </w:tcPr>
          <w:p>
            <w:pPr>
              <w:rPr>
                <w:rFonts w:hint="eastAsia" w:ascii="宋体" w:hAnsi="宋体" w:cs="宋体"/>
                <w:bCs/>
                <w:sz w:val="21"/>
                <w:szCs w:val="21"/>
              </w:rPr>
            </w:pPr>
          </w:p>
        </w:tc>
        <w:tc>
          <w:tcPr>
            <w:tcW w:w="1068" w:type="dxa"/>
            <w:noWrap w:val="0"/>
            <w:vAlign w:val="center"/>
          </w:tcPr>
          <w:p>
            <w:pPr>
              <w:spacing w:line="360" w:lineRule="auto"/>
              <w:jc w:val="center"/>
              <w:rPr>
                <w:rFonts w:hint="eastAsia" w:ascii="宋体" w:hAnsi="宋体" w:cs="宋体"/>
                <w:bCs/>
                <w:sz w:val="21"/>
                <w:szCs w:val="21"/>
              </w:rPr>
            </w:pPr>
            <w:r>
              <w:rPr>
                <w:rFonts w:hint="eastAsia" w:ascii="宋体" w:hAnsi="宋体" w:cs="宋体"/>
                <w:sz w:val="21"/>
                <w:szCs w:val="21"/>
              </w:rPr>
              <w:t>客服热线</w:t>
            </w:r>
          </w:p>
        </w:tc>
        <w:tc>
          <w:tcPr>
            <w:tcW w:w="3083" w:type="dxa"/>
            <w:noWrap w:val="0"/>
            <w:vAlign w:val="center"/>
          </w:tcPr>
          <w:p>
            <w:pPr>
              <w:spacing w:line="360" w:lineRule="auto"/>
              <w:jc w:val="center"/>
              <w:rPr>
                <w:rFonts w:hint="eastAsia" w:ascii="宋体" w:hAnsi="宋体" w:cs="宋体"/>
                <w:bCs/>
                <w:sz w:val="21"/>
                <w:szCs w:val="21"/>
              </w:rPr>
            </w:pPr>
            <w:r>
              <w:rPr>
                <w:rFonts w:hint="eastAsia" w:ascii="宋体" w:hAnsi="宋体" w:cs="宋体"/>
                <w:sz w:val="21"/>
                <w:szCs w:val="21"/>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销售机构职责</w:t>
            </w:r>
          </w:p>
        </w:tc>
        <w:tc>
          <w:tcPr>
            <w:tcW w:w="6840" w:type="dxa"/>
            <w:gridSpan w:val="3"/>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主要负责理财计划推广、投资者风险承受能力评估、投资者适当性管理、理财计划份额认购、申购及赎回办理。</w:t>
            </w:r>
          </w:p>
          <w:p>
            <w:pPr>
              <w:spacing w:line="360" w:lineRule="auto"/>
              <w:jc w:val="left"/>
              <w:rPr>
                <w:rFonts w:ascii="宋体" w:hAnsi="宋体" w:cs="宋体"/>
                <w:bCs/>
                <w:sz w:val="21"/>
                <w:szCs w:val="21"/>
              </w:rPr>
            </w:pPr>
            <w:r>
              <w:rPr>
                <w:rFonts w:hint="eastAsia" w:ascii="宋体" w:hAnsi="宋体" w:cs="宋体"/>
                <w:bCs/>
                <w:sz w:val="21"/>
                <w:szCs w:val="21"/>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
        </w:rPr>
      </w:pPr>
      <w:r>
        <w:rPr>
          <w:rFonts w:hint="eastAsia" w:ascii="宋体" w:hAnsi="宋体" w:cs="宋体"/>
          <w:bCs/>
          <w:color w:val="000000"/>
        </w:rPr>
        <w:t>在本理财计划发行后新增准入的销售机构将以管理人对外公告为准。</w:t>
      </w:r>
    </w:p>
    <w:p>
      <w:pPr>
        <w:spacing w:line="360" w:lineRule="auto"/>
        <w:jc w:val="left"/>
        <w:rPr>
          <w:rFonts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估值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估值日</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本理财计划估值日为每个工作日，由理财计划管理人和理财计划托管人核对估值结果并向投资者披露，具体日期以管理人公告为准。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估值对象</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估值目的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客观、准确反映理财计划的价值。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估值方法</w:t>
      </w:r>
    </w:p>
    <w:p>
      <w:pPr>
        <w:spacing w:line="360" w:lineRule="auto"/>
        <w:ind w:firstLine="480" w:firstLineChars="200"/>
        <w:rPr>
          <w:rFonts w:hint="eastAsia" w:ascii="宋体" w:hAnsi="宋体" w:cs="宋体"/>
          <w:bCs/>
          <w:color w:val="000000"/>
        </w:rPr>
      </w:pPr>
      <w:r>
        <w:rPr>
          <w:rFonts w:hint="eastAsia" w:ascii="宋体" w:hAnsi="宋体" w:cs="宋体"/>
          <w:bCs/>
          <w:color w:val="000000"/>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rPr>
      </w:pPr>
      <w:r>
        <w:rPr>
          <w:rFonts w:hint="eastAsia"/>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货币市场工具类资产</w:t>
      </w:r>
    </w:p>
    <w:p>
      <w:pPr>
        <w:pStyle w:val="17"/>
        <w:adjustRightInd/>
        <w:spacing w:line="360" w:lineRule="auto"/>
        <w:ind w:firstLine="48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债券及同业存单类资产</w:t>
      </w:r>
    </w:p>
    <w:p>
      <w:pPr>
        <w:spacing w:line="360" w:lineRule="auto"/>
        <w:ind w:firstLine="480" w:firstLineChars="200"/>
        <w:rPr>
          <w:rFonts w:ascii="宋体" w:hAnsi="宋体" w:cs="宋体"/>
          <w:bCs/>
          <w:color w:val="000000"/>
        </w:rPr>
      </w:pPr>
      <w:r>
        <w:rPr>
          <w:rFonts w:hint="eastAsia" w:ascii="宋体" w:hAnsi="宋体" w:cs="宋体"/>
          <w:bCs/>
          <w:color w:val="000000"/>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债权类资产</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对于符合监管要求的债权类资产，按照摊余成本法进行计量。其余债权类资产，按市价法估值。市价法不能确定其公允价值的，采用估值技术进行估值。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基金、信托计划、资产管理计划类资产</w:t>
      </w:r>
    </w:p>
    <w:p>
      <w:pPr>
        <w:spacing w:line="360" w:lineRule="auto"/>
        <w:ind w:firstLine="480" w:firstLineChars="200"/>
        <w:rPr>
          <w:rFonts w:hint="eastAsia" w:ascii="宋体" w:hAnsi="宋体"/>
        </w:rPr>
      </w:pPr>
      <w:r>
        <w:rPr>
          <w:rFonts w:hint="eastAsia" w:ascii="宋体" w:hAnsi="宋体" w:cs="宋体"/>
          <w:bCs/>
          <w:color w:val="000000"/>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rPr>
      </w:pPr>
      <w:r>
        <w:rPr>
          <w:rFonts w:hint="eastAsia" w:ascii="宋体" w:hAnsi="宋体" w:cs="宋体"/>
          <w:bCs/>
          <w:color w:val="000000"/>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其他资产的估值方法</w:t>
      </w:r>
    </w:p>
    <w:p>
      <w:pPr>
        <w:pStyle w:val="17"/>
        <w:spacing w:line="360" w:lineRule="auto"/>
        <w:ind w:firstLine="48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rPr>
      </w:pP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偏离度管理</w:t>
      </w:r>
    </w:p>
    <w:p>
      <w:pPr>
        <w:pStyle w:val="17"/>
        <w:tabs>
          <w:tab w:val="left" w:pos="0"/>
        </w:tabs>
        <w:spacing w:line="360" w:lineRule="auto"/>
        <w:ind w:firstLine="480" w:firstLineChars="200"/>
        <w:rPr>
          <w:rFonts w:ascii="宋体" w:hAnsi="宋体" w:cs="宋体"/>
          <w:bCs/>
          <w:kern w:val="2"/>
        </w:rPr>
      </w:pPr>
      <w:r>
        <w:rPr>
          <w:rFonts w:hint="eastAsia" w:ascii="宋体" w:hAnsi="宋体" w:cs="宋体"/>
          <w:bCs/>
          <w:kern w:val="2"/>
        </w:rPr>
        <w:t>本理财计划为现金管理类产品，在确保理财计划资产净值能够公允地反映投资组合价值的前提下，可采用摊余成本法对持有的投资组合进行会计核算。由于按摊余成本法估值可能会出现估值对象的公允价值和摊余成本价偏离，为消除或减少产品因资产净值背离导致产品持有人权益稀释或其他不公平的结果，在实际操作中，产品管理人可以对理财计划资产净值按公允价值法定期进行重新评估，即“影子定价”。当影子定价确定的理财计划资产净值与摊余成本法计算的资产净值的偏离度导致理财计划持有人权益稀释或者不公平的结果，管理人可根据风险控制的需要做相应调整。</w:t>
      </w:r>
    </w:p>
    <w:p>
      <w:pPr>
        <w:tabs>
          <w:tab w:val="left" w:pos="0"/>
        </w:tabs>
        <w:autoSpaceDE w:val="0"/>
        <w:autoSpaceDN w:val="0"/>
        <w:adjustRightInd w:val="0"/>
        <w:spacing w:line="360" w:lineRule="auto"/>
        <w:ind w:firstLine="480" w:firstLineChars="200"/>
        <w:jc w:val="left"/>
        <w:rPr>
          <w:rFonts w:ascii="宋体" w:hAnsi="宋体" w:cs="宋体"/>
          <w:bCs/>
          <w:color w:val="000000"/>
        </w:rPr>
      </w:pPr>
      <w:r>
        <w:rPr>
          <w:rFonts w:hint="eastAsia" w:ascii="宋体" w:hAnsi="宋体" w:cs="宋体"/>
          <w:bCs/>
          <w:color w:val="000000"/>
        </w:rPr>
        <w:t>其中，当影子定价确定的本产品资产净值与摊余成本法计算的资产净值正偏离度绝对值达到0.5%时，管理人应当暂停接受申购并在</w:t>
      </w:r>
      <w:r>
        <w:rPr>
          <w:rFonts w:ascii="宋体" w:hAnsi="宋体" w:cs="宋体"/>
          <w:bCs/>
          <w:color w:val="000000"/>
        </w:rPr>
        <w:t>5</w:t>
      </w:r>
      <w:r>
        <w:rPr>
          <w:rFonts w:hint="eastAsia" w:ascii="宋体" w:hAnsi="宋体" w:cs="宋体"/>
          <w:bCs/>
          <w:color w:val="000000"/>
        </w:rPr>
        <w:t>个交易日内将正偏离度绝对值调整到0.5%以内。当负偏离度绝对值达到0.25%时，管理人应当在</w:t>
      </w:r>
      <w:r>
        <w:rPr>
          <w:rFonts w:ascii="宋体" w:hAnsi="宋体" w:cs="宋体"/>
          <w:bCs/>
          <w:color w:val="000000"/>
        </w:rPr>
        <w:t>5</w:t>
      </w:r>
      <w:r>
        <w:rPr>
          <w:rFonts w:hint="eastAsia" w:ascii="宋体" w:hAnsi="宋体" w:cs="宋体"/>
          <w:bCs/>
          <w:color w:val="000000"/>
        </w:rPr>
        <w:t>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理财计划合同进行财产清算等措施。当出现上述情形时，管理人将依据法律法规规定履行信息披露程序。</w:t>
      </w:r>
    </w:p>
    <w:p>
      <w:pPr>
        <w:pStyle w:val="17"/>
        <w:tabs>
          <w:tab w:val="left" w:pos="0"/>
        </w:tabs>
        <w:spacing w:line="360" w:lineRule="auto"/>
        <w:ind w:firstLine="480" w:firstLineChars="200"/>
        <w:rPr>
          <w:rFonts w:hint="eastAsia" w:ascii="宋体" w:hAnsi="宋体" w:cs="宋体"/>
          <w:b/>
        </w:rPr>
      </w:pPr>
      <w:r>
        <w:rPr>
          <w:rFonts w:hint="eastAsia" w:ascii="宋体" w:hAnsi="宋体" w:cs="宋体"/>
          <w:bCs/>
        </w:rPr>
        <w:t>影子定价与摊余成本法确定的现金管理类产品资产净值的偏离度＝</w:t>
      </w:r>
      <w:r>
        <w:rPr>
          <w:rFonts w:hint="eastAsia" w:ascii="宋体" w:hAnsi="宋体" w:cs="宋体"/>
          <w:bCs/>
          <w:position w:val="-30"/>
        </w:rPr>
        <w:object>
          <v:shape id="_x0000_i1025" o:spt="75" type="#_x0000_t75" style="height:34pt;width:73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cs="宋体"/>
          <w:bCs/>
        </w:rPr>
        <w:t xml:space="preserve"> ，其中，</w:t>
      </w:r>
      <w:r>
        <w:rPr>
          <w:rFonts w:hint="eastAsia" w:ascii="宋体" w:hAnsi="宋体" w:cs="宋体"/>
          <w:bCs/>
          <w:position w:val="-12"/>
        </w:rPr>
        <w:object>
          <v:shape id="_x0000_i1026" o:spt="75" type="#_x0000_t75" style="height:18pt;width:31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cs="宋体"/>
          <w:bCs/>
        </w:rPr>
        <w:t xml:space="preserve"> 为影子定价确定的现金管理类产品资产净值，</w:t>
      </w:r>
      <w:r>
        <w:rPr>
          <w:rFonts w:hint="eastAsia" w:ascii="宋体" w:hAnsi="宋体" w:cs="宋体"/>
          <w:bCs/>
          <w:position w:val="-12"/>
        </w:rPr>
        <w:object>
          <v:shape id="_x0000_i1027" o:spt="75" type="#_x0000_t75" style="height:18pt;width:31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r>
        <w:rPr>
          <w:rFonts w:hint="eastAsia" w:ascii="宋体" w:hAnsi="宋体" w:cs="宋体"/>
          <w:bCs/>
        </w:rPr>
        <w:t xml:space="preserve"> 为摊余成本法确定的现金管理类产品资产净值。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估值差错处理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暂停估值情形</w:t>
      </w:r>
    </w:p>
    <w:p>
      <w:pPr>
        <w:numPr>
          <w:ilvl w:val="0"/>
          <w:numId w:val="33"/>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理财计划投资所涉及的交易市场遇法定节假日或因其他原因暂停营业时暂停估值，该种情况理财计划估值日期提前到上一交易日。</w:t>
      </w:r>
    </w:p>
    <w:p>
      <w:pPr>
        <w:numPr>
          <w:ilvl w:val="0"/>
          <w:numId w:val="33"/>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因不可抗力或其他情形致使理财计划管理人、理财计划托管人无法准确评估资产价值时。</w:t>
      </w:r>
    </w:p>
    <w:p>
      <w:pPr>
        <w:numPr>
          <w:ilvl w:val="0"/>
          <w:numId w:val="33"/>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3"/>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资产账册的建立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费用及税收</w:t>
      </w:r>
    </w:p>
    <w:p>
      <w:pPr>
        <w:numPr>
          <w:ilvl w:val="0"/>
          <w:numId w:val="34"/>
        </w:numPr>
        <w:spacing w:line="360" w:lineRule="auto"/>
        <w:ind w:firstLine="482" w:firstLineChars="200"/>
        <w:jc w:val="left"/>
        <w:outlineLvl w:val="2"/>
        <w:rPr>
          <w:rFonts w:hint="eastAsia" w:ascii="宋体" w:hAnsi="宋体" w:cs="宋体"/>
          <w:b/>
        </w:rPr>
      </w:pPr>
      <w:r>
        <w:rPr>
          <w:rFonts w:hint="eastAsia" w:ascii="宋体" w:hAnsi="宋体" w:cs="宋体"/>
          <w:b/>
        </w:rPr>
        <w:t>费用种类</w:t>
      </w:r>
    </w:p>
    <w:p>
      <w:pPr>
        <w:spacing w:line="360" w:lineRule="auto"/>
        <w:ind w:firstLine="480" w:firstLineChars="200"/>
        <w:jc w:val="left"/>
        <w:rPr>
          <w:rFonts w:ascii="宋体" w:hAnsi="宋体" w:cs="宋体"/>
          <w:b/>
        </w:rPr>
      </w:pPr>
      <w:r>
        <w:rPr>
          <w:rFonts w:hint="eastAsia" w:ascii="宋体" w:hAnsi="宋体" w:cs="宋体"/>
          <w:bCs/>
          <w:color w:val="000000"/>
        </w:rPr>
        <w:t>本理财计划涉及费用包括销售服务费、托管费、固定管理费、认购费、申购费、赎回费、浮动管理费以及理财计划运作和清算中产生的其他费用等。</w:t>
      </w:r>
    </w:p>
    <w:p>
      <w:pPr>
        <w:numPr>
          <w:ilvl w:val="0"/>
          <w:numId w:val="34"/>
        </w:numPr>
        <w:spacing w:line="360" w:lineRule="auto"/>
        <w:ind w:firstLine="482" w:firstLineChars="200"/>
        <w:jc w:val="left"/>
        <w:outlineLvl w:val="2"/>
        <w:rPr>
          <w:rFonts w:hint="eastAsia" w:ascii="宋体" w:hAnsi="宋体" w:cs="宋体"/>
          <w:b/>
        </w:rPr>
      </w:pPr>
      <w:r>
        <w:rPr>
          <w:rFonts w:hint="eastAsia" w:ascii="宋体" w:hAnsi="宋体" w:cs="宋体"/>
          <w:b/>
        </w:rPr>
        <w:t>费用计提方法、标准及支付方式</w:t>
      </w:r>
    </w:p>
    <w:p>
      <w:pPr>
        <w:numPr>
          <w:ilvl w:val="0"/>
          <w:numId w:val="35"/>
        </w:numPr>
        <w:spacing w:line="360" w:lineRule="auto"/>
        <w:ind w:firstLine="482" w:firstLineChars="200"/>
        <w:jc w:val="left"/>
        <w:rPr>
          <w:rFonts w:hint="eastAsia" w:ascii="宋体" w:hAnsi="宋体" w:cs="宋体"/>
          <w:b/>
        </w:rPr>
      </w:pPr>
      <w:r>
        <w:rPr>
          <w:rFonts w:hint="eastAsia" w:ascii="宋体" w:hAnsi="宋体" w:cs="宋体"/>
          <w:b/>
        </w:rPr>
        <w:t>销售服务费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〖A份额〗理财计划财产的年化销售服务费率为</w:t>
      </w:r>
      <w:r>
        <w:rPr>
          <w:rFonts w:hint="eastAsia" w:ascii="宋体" w:hAnsi="宋体" w:cs="宋体"/>
          <w:szCs w:val="21"/>
        </w:rPr>
        <w:t>〖</w:t>
      </w:r>
      <w:r>
        <w:rPr>
          <w:rFonts w:hint="eastAsia" w:ascii="宋体" w:hAnsi="宋体" w:cs="宋体"/>
          <w:szCs w:val="21"/>
          <w:lang w:val="en-US" w:eastAsia="zh-CN"/>
        </w:rPr>
        <w:t>0.20</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s="宋体"/>
          <w:szCs w:val="21"/>
          <w:lang w:val="en-US" w:eastAsia="zh-CN"/>
        </w:rPr>
        <w:t>0.2</w:t>
      </w:r>
      <w:r>
        <w:rPr>
          <w:rFonts w:hint="eastAsia" w:ascii="宋体" w:hAnsi="宋体" w:cs="宋体"/>
          <w:szCs w:val="21"/>
        </w:rPr>
        <w:t>0%〗</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H为每日应计提的销售服务费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E为本理财计划当日资产净值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销售服务费原则上按日计提。</w:t>
      </w:r>
    </w:p>
    <w:p>
      <w:pPr>
        <w:numPr>
          <w:ilvl w:val="0"/>
          <w:numId w:val="35"/>
        </w:numPr>
        <w:spacing w:line="360" w:lineRule="auto"/>
        <w:ind w:firstLine="482" w:firstLineChars="200"/>
        <w:jc w:val="left"/>
        <w:rPr>
          <w:rFonts w:hint="eastAsia" w:ascii="宋体" w:hAnsi="宋体" w:cs="宋体"/>
          <w:b/>
        </w:rPr>
      </w:pPr>
      <w:r>
        <w:rPr>
          <w:rFonts w:hint="eastAsia" w:ascii="宋体" w:hAnsi="宋体" w:cs="宋体"/>
          <w:b/>
        </w:rPr>
        <w:t>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〖A份额〗理财计划财产的年化托管费为</w:t>
      </w:r>
      <w:r>
        <w:rPr>
          <w:rFonts w:hint="eastAsia" w:ascii="宋体" w:hAnsi="宋体" w:cs="宋体"/>
          <w:szCs w:val="21"/>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E为本理财计划当日资产净值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托管费原则上按日计提。</w:t>
      </w:r>
    </w:p>
    <w:p>
      <w:pPr>
        <w:numPr>
          <w:ilvl w:val="0"/>
          <w:numId w:val="35"/>
        </w:numPr>
        <w:spacing w:line="360" w:lineRule="auto"/>
        <w:ind w:firstLine="482" w:firstLineChars="200"/>
        <w:jc w:val="left"/>
        <w:rPr>
          <w:rFonts w:hint="eastAsia" w:ascii="宋体" w:hAnsi="宋体" w:cs="宋体"/>
          <w:b/>
        </w:rPr>
      </w:pPr>
      <w:r>
        <w:rPr>
          <w:rFonts w:hint="eastAsia" w:ascii="宋体" w:hAnsi="宋体" w:cs="宋体"/>
          <w:b/>
        </w:rPr>
        <w:t>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〖A份额〗理财计划财产的年化固定管理费率为</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0%〗</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0%〗</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E为本理财计划当日资产净值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固定管理费原则上按日计提，管理人有权减免固定管理费。</w:t>
      </w:r>
    </w:p>
    <w:p>
      <w:pPr>
        <w:numPr>
          <w:ilvl w:val="0"/>
          <w:numId w:val="35"/>
        </w:numPr>
        <w:spacing w:line="360" w:lineRule="auto"/>
        <w:ind w:firstLine="482" w:firstLineChars="200"/>
        <w:jc w:val="left"/>
        <w:rPr>
          <w:rFonts w:hint="eastAsia" w:ascii="宋体" w:hAnsi="宋体" w:cs="宋体"/>
          <w:b/>
        </w:rPr>
      </w:pPr>
      <w:r>
        <w:rPr>
          <w:rFonts w:hint="eastAsia" w:ascii="宋体" w:hAnsi="宋体" w:cs="宋体"/>
          <w:b/>
        </w:rPr>
        <w:t>认购费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本理财计划免除认购费。</w:t>
      </w:r>
    </w:p>
    <w:p>
      <w:pPr>
        <w:numPr>
          <w:ilvl w:val="0"/>
          <w:numId w:val="36"/>
        </w:numPr>
        <w:spacing w:line="360" w:lineRule="auto"/>
        <w:ind w:firstLine="482" w:firstLineChars="200"/>
        <w:jc w:val="left"/>
        <w:rPr>
          <w:rFonts w:ascii="宋体" w:hAnsi="宋体" w:cs="宋体"/>
          <w:b/>
        </w:rPr>
      </w:pPr>
      <w:r>
        <w:rPr>
          <w:rFonts w:hint="eastAsia" w:ascii="宋体" w:hAnsi="宋体" w:cs="宋体"/>
          <w:b/>
        </w:rPr>
        <w:t>申购费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本理财计划免除申购费。</w:t>
      </w:r>
    </w:p>
    <w:p>
      <w:pPr>
        <w:numPr>
          <w:ilvl w:val="0"/>
          <w:numId w:val="36"/>
        </w:numPr>
        <w:spacing w:line="360" w:lineRule="auto"/>
        <w:ind w:firstLine="482" w:firstLineChars="200"/>
        <w:jc w:val="left"/>
        <w:rPr>
          <w:rFonts w:ascii="宋体" w:hAnsi="宋体" w:cs="宋体"/>
          <w:b/>
        </w:rPr>
      </w:pPr>
      <w:r>
        <w:rPr>
          <w:rFonts w:hint="eastAsia" w:ascii="宋体" w:hAnsi="宋体" w:cs="宋体"/>
          <w:b/>
        </w:rPr>
        <w:t>赎回费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本理财计划免除赎回费。</w:t>
      </w:r>
    </w:p>
    <w:p>
      <w:pPr>
        <w:numPr>
          <w:ilvl w:val="0"/>
          <w:numId w:val="37"/>
        </w:numPr>
        <w:spacing w:line="360" w:lineRule="auto"/>
        <w:ind w:firstLine="482" w:firstLineChars="200"/>
        <w:jc w:val="left"/>
        <w:rPr>
          <w:rFonts w:hint="eastAsia" w:ascii="宋体" w:hAnsi="宋体" w:cs="宋体"/>
          <w:b/>
        </w:rPr>
      </w:pPr>
      <w:r>
        <w:rPr>
          <w:rFonts w:hint="eastAsia" w:ascii="宋体" w:hAnsi="宋体" w:cs="宋体"/>
          <w:b/>
        </w:rPr>
        <w:t>浮动管理费</w:t>
      </w:r>
    </w:p>
    <w:p>
      <w:pPr>
        <w:spacing w:line="360" w:lineRule="auto"/>
        <w:ind w:firstLine="480" w:firstLineChars="200"/>
        <w:jc w:val="left"/>
        <w:rPr>
          <w:rFonts w:ascii="宋体" w:hAnsi="宋体" w:cs="宋体"/>
          <w:bCs/>
          <w:color w:val="000000"/>
        </w:rPr>
      </w:pPr>
      <w:r>
        <w:rPr>
          <w:rFonts w:hint="eastAsia" w:ascii="宋体" w:hAnsi="宋体" w:cs="宋体"/>
          <w:bCs/>
          <w:color w:val="000000"/>
        </w:rPr>
        <w:t>本理财计划免除浮动管理费。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强制赎回费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产品持有的现金、国债、中央银行票据、政策性金融债券以及5个交易日内到期的其他金融工具占产品资产净值的比例合计低于5%且偏离度为负时，产品管理人可对当日单个投资者申请赎回份额超过产品总份额1%以上的赎回申请征收1%的强制赎回费用，并将上述赎回费用全部计入产品资产。</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2）产品前10名投资者的持有份额合计超过该产品总份额50%的，当投资组合中现金、国债、中央银行票据、政策性金融债券以及5个交易日内到期的其他金融工具占该产品资产净值的比例合计低于10%且偏离度为负时，产品管理人可对投资者超过产品总份额1%以上的赎回申请征收1%的强制赎回费用。</w:t>
      </w:r>
    </w:p>
    <w:p>
      <w:pPr>
        <w:numPr>
          <w:ilvl w:val="0"/>
          <w:numId w:val="37"/>
        </w:numPr>
        <w:spacing w:line="360" w:lineRule="auto"/>
        <w:ind w:firstLine="482" w:firstLineChars="200"/>
        <w:jc w:val="left"/>
        <w:rPr>
          <w:rFonts w:hint="eastAsia" w:ascii="宋体" w:hAnsi="宋体" w:cs="宋体"/>
          <w:b/>
        </w:rPr>
      </w:pPr>
      <w:r>
        <w:rPr>
          <w:rFonts w:hint="eastAsia" w:ascii="宋体" w:hAnsi="宋体" w:cs="宋体"/>
          <w:b/>
        </w:rPr>
        <w:t>其他费用</w:t>
      </w:r>
    </w:p>
    <w:p>
      <w:pPr>
        <w:spacing w:line="360" w:lineRule="auto"/>
        <w:ind w:firstLine="480" w:firstLineChars="200"/>
        <w:jc w:val="left"/>
        <w:rPr>
          <w:rFonts w:ascii="宋体" w:hAnsi="宋体" w:cs="宋体"/>
          <w:bCs/>
          <w:color w:val="000000"/>
        </w:rPr>
      </w:pPr>
      <w:r>
        <w:rPr>
          <w:rFonts w:hint="eastAsia" w:ascii="宋体" w:hAnsi="宋体" w:cs="宋体"/>
          <w:bCs/>
          <w:color w:val="000000"/>
        </w:rPr>
        <w:t>除上述费用外，由受托管理资产承担的费用包括但不限于：</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财产管理、运用或处分过程中发生的税费。</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代理机构手续费、管理费、财务顾问费、保管费。</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审计费、律师费、公证费等费用。</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管理人自行或委托第三方向本理财计划所投资产所涉及相关主体进行追偿所发生的费用（包括但不限于诉讼费、仲裁费、律师费、保全费等全部费用）。</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理财计划的交易费用（包括但不限于交易佣金、相关账户费用等）及投资其他资管产品的费用。</w:t>
      </w:r>
    </w:p>
    <w:p>
      <w:pPr>
        <w:numPr>
          <w:ilvl w:val="0"/>
          <w:numId w:val="38"/>
        </w:numPr>
        <w:spacing w:line="360" w:lineRule="auto"/>
        <w:ind w:firstLine="480" w:firstLineChars="200"/>
        <w:jc w:val="left"/>
        <w:rPr>
          <w:rFonts w:ascii="宋体" w:hAnsi="宋体" w:cs="宋体"/>
          <w:bCs/>
        </w:rPr>
      </w:pPr>
      <w:r>
        <w:rPr>
          <w:rFonts w:hint="eastAsia" w:ascii="宋体" w:hAnsi="宋体" w:cs="宋体"/>
          <w:bCs/>
        </w:rPr>
        <w:t>监管规定的其他费用。</w:t>
      </w:r>
    </w:p>
    <w:p>
      <w:pPr>
        <w:spacing w:line="360" w:lineRule="auto"/>
        <w:ind w:firstLine="482" w:firstLineChars="200"/>
        <w:jc w:val="left"/>
        <w:rPr>
          <w:rFonts w:ascii="宋体" w:hAnsi="宋体" w:cs="宋体"/>
          <w:bCs/>
        </w:rPr>
      </w:pPr>
      <w:r>
        <w:rPr>
          <w:rFonts w:hint="eastAsia" w:ascii="宋体" w:hAnsi="宋体" w:cs="宋体"/>
          <w:b/>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9"/>
        </w:numPr>
        <w:spacing w:line="360" w:lineRule="auto"/>
        <w:ind w:firstLine="482" w:firstLineChars="200"/>
        <w:jc w:val="left"/>
        <w:outlineLvl w:val="2"/>
        <w:rPr>
          <w:rFonts w:hint="eastAsia" w:ascii="宋体" w:hAnsi="宋体" w:cs="宋体"/>
          <w:b/>
        </w:rPr>
      </w:pPr>
      <w:r>
        <w:rPr>
          <w:rFonts w:hint="eastAsia" w:ascii="宋体" w:hAnsi="宋体" w:cs="宋体"/>
          <w:b/>
        </w:rPr>
        <w:t>税收说明</w:t>
      </w:r>
    </w:p>
    <w:p>
      <w:pPr>
        <w:numPr>
          <w:ilvl w:val="0"/>
          <w:numId w:val="40"/>
        </w:numPr>
        <w:spacing w:line="360" w:lineRule="auto"/>
        <w:ind w:firstLine="480" w:firstLineChars="200"/>
        <w:jc w:val="left"/>
      </w:pPr>
      <w:r>
        <w:rPr>
          <w:rFonts w:hint="eastAsia" w:ascii="宋体" w:hAnsi="宋体" w:cs="宋体"/>
          <w:bCs/>
          <w:color w:val="000000"/>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0"/>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除法律法规特别要求外，投资者应缴纳的税收由投资者自行缴纳，理财计划管理人不承担代扣代缴或纳税的义务。</w:t>
      </w:r>
    </w:p>
    <w:p>
      <w:pPr>
        <w:numPr>
          <w:ilvl w:val="0"/>
          <w:numId w:val="40"/>
        </w:numPr>
        <w:spacing w:line="360" w:lineRule="auto"/>
        <w:ind w:firstLine="480" w:firstLineChars="200"/>
        <w:jc w:val="left"/>
        <w:rPr>
          <w:rFonts w:hint="eastAsia" w:ascii="宋体" w:hAnsi="宋体" w:cs="宋体"/>
          <w:b/>
        </w:rPr>
      </w:pPr>
      <w:r>
        <w:rPr>
          <w:rFonts w:hint="eastAsia" w:ascii="宋体" w:hAnsi="宋体" w:cs="宋体"/>
          <w:bCs/>
          <w:color w:val="000000"/>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收益计算及支付</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理财收益说明</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本理财计划每份产品份额享有同等分配权。投资者自认购/申购份额确认当日开始享有相应份额的收益分配权益；自赎回确认当日开始不再享有相应份额的收益分配权益。</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存续期间，以当日每万份理财产品收益为基准，每日为投资者计算当日理财收益并进行分配，结转为理财计划份额。如投资者的当日收益为正，则为投资者增加相应的产品份额；如投资者的当日收益为零，则投资者份额不变；如投资者的当日收益为负，则为投资者核减相应的产品份额。投资者当日收益分配的计算保留到小数点后2位，小数点后第3位按去尾法处理，因去尾形成的余额进行再次分配，直到分完为止。</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计算公式</w:t>
      </w:r>
    </w:p>
    <w:p>
      <w:pPr>
        <w:spacing w:line="360" w:lineRule="auto"/>
        <w:ind w:firstLine="480" w:firstLineChars="200"/>
        <w:jc w:val="left"/>
        <w:rPr>
          <w:rFonts w:ascii="宋体" w:hAnsi="宋体" w:cs="宋体"/>
          <w:bCs/>
          <w:color w:val="000000"/>
        </w:rPr>
      </w:pPr>
      <w:r>
        <w:rPr>
          <w:rFonts w:hint="eastAsia" w:ascii="宋体" w:hAnsi="宋体" w:cs="宋体"/>
          <w:bCs/>
          <w:color w:val="000000"/>
        </w:rPr>
        <w:t>投资者当日理财收益＝投资者当日持有份额×每万份理财产品收益/10000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当日每万份理财产品收益=(当日资产组合投资收益-当日理财计划托管费-当日理财计划固定管理费-当日理财计划销售服务费-其他税费)/当日理财计划份额×10000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当日理财计划份额=上一日理财计划份额＋上一日理财计划结转份额＋当日申购确认理财计划份额－当日赎回确认理财计划份额</w:t>
      </w:r>
    </w:p>
    <w:p>
      <w:pPr>
        <w:spacing w:line="360" w:lineRule="auto"/>
        <w:ind w:firstLine="480" w:firstLineChars="200"/>
        <w:jc w:val="left"/>
        <w:rPr>
          <w:rFonts w:hint="eastAsia" w:ascii="宋体" w:hAnsi="宋体" w:cs="宋体"/>
          <w:position w:val="-46"/>
          <w:szCs w:val="21"/>
          <w:lang w:bidi="ar"/>
        </w:rPr>
      </w:pPr>
      <w:r>
        <w:rPr>
          <w:rFonts w:hint="eastAsia" w:ascii="宋体" w:hAnsi="宋体" w:cs="宋体"/>
          <w:szCs w:val="21"/>
          <w:lang w:bidi="ar"/>
        </w:rPr>
        <w:t>按日结转份额的七日年化收益率=</w:t>
      </w:r>
      <w:r>
        <w:rPr>
          <w:rFonts w:hint="eastAsia" w:ascii="宋体" w:hAnsi="宋体" w:cs="宋体"/>
          <w:position w:val="-46"/>
          <w:szCs w:val="21"/>
          <w:lang w:bidi="ar"/>
        </w:rPr>
        <w:object>
          <v:shape id="_x0000_i1028" o:spt="75" type="#_x0000_t75" style="height:52.15pt;width:162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Ri为最近第i个自然日的当日每万份理财产品收益。七日年化收益率采取四舍五入后精确到小数点后4位。</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投资者总收益＝自理财计划申购确认日（或产品成立日）当日（含当日）起至赎回确认日或理财产品到期日（提前终止日）（不含当日）止期间相应投资者理财收益总和</w:t>
      </w:r>
    </w:p>
    <w:p>
      <w:pPr>
        <w:spacing w:line="360" w:lineRule="auto"/>
        <w:ind w:firstLine="480" w:firstLineChars="200"/>
        <w:jc w:val="left"/>
        <w:rPr>
          <w:rFonts w:ascii="宋体" w:hAnsi="宋体" w:cs="宋体"/>
          <w:bCs/>
          <w:color w:val="000000"/>
        </w:rPr>
      </w:pPr>
      <w:r>
        <w:rPr>
          <w:rFonts w:hint="eastAsia" w:ascii="宋体" w:hAnsi="宋体" w:cs="宋体"/>
          <w:bCs/>
          <w:color w:val="000000"/>
        </w:rPr>
        <w:t>其中，投资者当日持有份额以管理人理财系统完成当日清算后记录的份额为准；投资者当日理财收益计算结果按去尾法保留两位小数。</w:t>
      </w:r>
    </w:p>
    <w:p>
      <w:pPr>
        <w:numPr>
          <w:ilvl w:val="0"/>
          <w:numId w:val="41"/>
        </w:numPr>
        <w:spacing w:line="360" w:lineRule="auto"/>
        <w:jc w:val="left"/>
        <w:outlineLvl w:val="2"/>
        <w:rPr>
          <w:rFonts w:hint="eastAsia" w:ascii="宋体" w:hAnsi="宋体" w:cs="宋体"/>
          <w:b/>
          <w:color w:val="000000"/>
        </w:rPr>
      </w:pPr>
      <w:r>
        <w:rPr>
          <w:rFonts w:hint="eastAsia" w:ascii="宋体" w:hAnsi="宋体" w:cs="宋体"/>
          <w:b/>
        </w:rPr>
        <w:t>示例说明</w:t>
      </w:r>
    </w:p>
    <w:p>
      <w:pPr>
        <w:numPr>
          <w:ilvl w:val="0"/>
          <w:numId w:val="42"/>
        </w:numPr>
        <w:spacing w:line="360" w:lineRule="auto"/>
        <w:ind w:firstLine="482" w:firstLineChars="200"/>
        <w:jc w:val="left"/>
        <w:rPr>
          <w:rFonts w:hint="eastAsia" w:ascii="宋体" w:hAnsi="宋体" w:cs="宋体"/>
          <w:b/>
        </w:rPr>
      </w:pPr>
      <w:r>
        <w:rPr>
          <w:rFonts w:hint="eastAsia" w:ascii="宋体" w:hAnsi="宋体" w:cs="宋体"/>
          <w:b/>
        </w:rPr>
        <w:t>示例一</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以某投资者当日持有10万份为例，若当日每万份理财产品收益为0.9590，则该投资者的当日理财收益为：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100,000×0.9590/10000=9.59元</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投资者当日结转份额为：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9.59/1=9.59份</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本金及理财收益支付</w:t>
      </w:r>
    </w:p>
    <w:p>
      <w:pPr>
        <w:numPr>
          <w:ilvl w:val="0"/>
          <w:numId w:val="43"/>
        </w:numPr>
        <w:spacing w:line="360" w:lineRule="auto"/>
        <w:ind w:firstLine="482" w:firstLineChars="200"/>
        <w:jc w:val="left"/>
        <w:rPr>
          <w:rFonts w:hint="eastAsia" w:ascii="宋体" w:hAnsi="宋体" w:cs="宋体"/>
          <w:b/>
        </w:rPr>
      </w:pPr>
      <w:r>
        <w:rPr>
          <w:rFonts w:hint="eastAsia" w:ascii="宋体" w:hAnsi="宋体" w:cs="宋体"/>
          <w:b/>
        </w:rPr>
        <w:t xml:space="preserve">理财计划收益结转，提前终止的本金及收益支付 </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（1）若投资者未赎回理财计划，管理人每日为投资者计算当日收益，并将该收益结转为理财计划份额。</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（2）若理财计划提前终止，管理人将投资者在提前终止日所持有的理财计划份额对应的本金与理财收益于提前终止日后的3个工作日内划转至投资者指定理财账户。</w:t>
      </w:r>
    </w:p>
    <w:p>
      <w:pPr>
        <w:numPr>
          <w:ilvl w:val="0"/>
          <w:numId w:val="43"/>
        </w:numPr>
        <w:spacing w:line="360" w:lineRule="auto"/>
        <w:ind w:firstLine="482" w:firstLineChars="200"/>
        <w:jc w:val="left"/>
        <w:rPr>
          <w:rFonts w:hint="eastAsia" w:ascii="宋体" w:hAnsi="宋体" w:cs="宋体"/>
          <w:b/>
        </w:rPr>
      </w:pPr>
      <w:r>
        <w:rPr>
          <w:rFonts w:hint="eastAsia" w:ascii="宋体" w:hAnsi="宋体" w:cs="宋体"/>
          <w:b/>
        </w:rPr>
        <w:t xml:space="preserve">理财计划赎回时的本金及收益支付： </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全部赎回时的本金及收益支付：投资者申请全部赎回理财计划时，产品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 xml:space="preserve">（2）部分赎回时的本金及收益支付：投资者申请部分赎回理财计划时，部分赎回的产品份额对应的理财收益于赎回日当晚清算后正常结转为份额，管理人在赎回确认日当日将投资者申请赎回的产品份额对应的资金划转至投资者指定理财账户。部分赎回后投资者持有本理财产品的实时余额不得低于0.01份。 </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示例：a.假设投资者持有理财计划20万份，若投资者在产品某一开放日申请赎回10万份，则赎回确认日当日，管理人将10万元资金划转至投资者指定账户。该部分收益（申请赎回的10万份产品份额在赎回日产生的理财收益）在赎回日当晚清算后正常结转为份额继续留存。</w:t>
      </w:r>
    </w:p>
    <w:p>
      <w:pPr>
        <w:spacing w:line="360" w:lineRule="auto"/>
        <w:ind w:firstLine="480" w:firstLineChars="200"/>
        <w:jc w:val="left"/>
        <w:rPr>
          <w:rFonts w:ascii="宋体" w:hAnsi="宋体" w:cs="宋体"/>
          <w:bCs/>
          <w:color w:val="000000"/>
        </w:rPr>
      </w:pPr>
      <w:r>
        <w:rPr>
          <w:rFonts w:hint="eastAsia" w:ascii="宋体" w:hAnsi="宋体" w:cs="宋体"/>
          <w:bCs/>
          <w:color w:val="000000"/>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（3）理财账户销户时的收益支付：投资者的理财账户销户时间为每个交易日的9：00-15：45，管理人将该理财账户本理财计划当前全部产品份额进行赎回确认，然后对理财账户销户处理。</w:t>
      </w:r>
    </w:p>
    <w:p>
      <w:pPr>
        <w:numPr>
          <w:ilvl w:val="0"/>
          <w:numId w:val="43"/>
        </w:numPr>
        <w:spacing w:line="360" w:lineRule="auto"/>
        <w:ind w:firstLine="482" w:firstLineChars="200"/>
        <w:jc w:val="left"/>
        <w:rPr>
          <w:rFonts w:hint="eastAsia" w:ascii="宋体" w:hAnsi="宋体" w:cs="宋体"/>
          <w:b/>
        </w:rPr>
      </w:pPr>
      <w:r>
        <w:rPr>
          <w:rFonts w:hint="eastAsia" w:ascii="宋体" w:hAnsi="宋体" w:cs="宋体"/>
          <w:b/>
        </w:rPr>
        <w:t>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最不利情况分析</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由于市场波动导致投资资产贬值或者投资资产发生信用风险导致相应损失，使理财计划收益率为零甚至为负，投资者赎回或者理财计划到期时有可能损失理财本金（在最不利的情况下有可能损失全部本金），届时（理财计划到期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交易规则</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认购</w:t>
      </w:r>
    </w:p>
    <w:p>
      <w:pPr>
        <w:numPr>
          <w:ilvl w:val="0"/>
          <w:numId w:val="45"/>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5"/>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理财计划认购期内，投资者可以对本理财计划进行认购、追加、撤单，相应投资资金将在投资者指定账户中冻结。</w:t>
      </w:r>
    </w:p>
    <w:p>
      <w:pPr>
        <w:numPr>
          <w:ilvl w:val="0"/>
          <w:numId w:val="45"/>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成立</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销售机构有权以投资者的投资金额为限从投资者理财账户中进行资金扣划，无需投资者另行授权。</w:t>
      </w:r>
    </w:p>
    <w:p>
      <w:pPr>
        <w:numPr>
          <w:ilvl w:val="0"/>
          <w:numId w:val="46"/>
        </w:numPr>
        <w:spacing w:line="360" w:lineRule="auto"/>
        <w:ind w:firstLine="480" w:firstLineChars="200"/>
        <w:jc w:val="left"/>
        <w:rPr>
          <w:rFonts w:hint="eastAsia" w:ascii="宋体" w:hAnsi="宋体" w:cs="宋体"/>
          <w:b/>
        </w:rPr>
      </w:pPr>
      <w:r>
        <w:rPr>
          <w:rFonts w:hint="eastAsia" w:ascii="宋体" w:hAnsi="宋体" w:cs="宋体"/>
          <w:bCs/>
          <w:color w:val="000000"/>
        </w:rPr>
        <w:t>管理人将在理财计划成立日对认购期的认购及追加申请进行确认和划款。</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申购及赎回</w:t>
      </w:r>
    </w:p>
    <w:p>
      <w:pPr>
        <w:numPr>
          <w:ilvl w:val="0"/>
          <w:numId w:val="47"/>
        </w:numPr>
        <w:spacing w:line="360" w:lineRule="auto"/>
        <w:ind w:firstLine="480" w:firstLineChars="200"/>
        <w:jc w:val="left"/>
        <w:rPr>
          <w:rFonts w:ascii="宋体" w:hAnsi="宋体" w:cs="宋体"/>
          <w:bCs/>
        </w:rPr>
      </w:pPr>
      <w:r>
        <w:rPr>
          <w:rFonts w:hint="eastAsia" w:ascii="宋体" w:hAnsi="宋体" w:cs="宋体"/>
          <w:bCs/>
        </w:rPr>
        <w:t>交易确认及时间</w:t>
      </w:r>
    </w:p>
    <w:p>
      <w:pPr>
        <w:numPr>
          <w:ilvl w:val="0"/>
          <w:numId w:val="48"/>
        </w:numPr>
        <w:spacing w:line="360" w:lineRule="auto"/>
        <w:ind w:firstLine="480" w:firstLineChars="200"/>
        <w:jc w:val="left"/>
        <w:rPr>
          <w:rFonts w:hint="eastAsia" w:ascii="宋体" w:hAnsi="宋体" w:cs="宋体"/>
          <w:bCs/>
        </w:rPr>
      </w:pPr>
      <w:r>
        <w:rPr>
          <w:rFonts w:hint="eastAsia" w:ascii="宋体" w:hAnsi="宋体" w:cs="宋体"/>
          <w:bCs/>
        </w:rPr>
        <w:t>本理财计划在每个开放日工作时间可进行申购，申购申请将在申购确认日进行确认，即开放日后的第〖1〗个工作日进行确认。</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本理财计划在每个开放日工作时间可进行赎回，赎回申请将在赎回确认日进行确认，即开放日后的第〖1〗个工作日进行确认。</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工作时间为每个工作日〖</w:t>
      </w:r>
      <w:r>
        <w:rPr>
          <w:rFonts w:hint="eastAsia" w:ascii="宋体" w:hAnsi="宋体" w:cs="宋体"/>
          <w:bCs/>
          <w:lang w:val="en-US" w:eastAsia="zh-CN"/>
        </w:rPr>
        <w:t>0</w:t>
      </w:r>
      <w:r>
        <w:rPr>
          <w:rFonts w:hint="eastAsia" w:ascii="宋体" w:hAnsi="宋体" w:cs="宋体"/>
          <w:bCs/>
        </w:rPr>
        <w:t>:00〗至〖</w:t>
      </w:r>
      <w:r>
        <w:rPr>
          <w:rFonts w:hint="eastAsia" w:ascii="宋体" w:hAnsi="宋体" w:cs="宋体"/>
          <w:bCs/>
          <w:lang w:val="en-US" w:eastAsia="zh-CN"/>
        </w:rPr>
        <w:t>2</w:t>
      </w:r>
      <w:r>
        <w:rPr>
          <w:rFonts w:hint="eastAsia" w:ascii="宋体" w:hAnsi="宋体" w:cs="宋体"/>
          <w:bCs/>
          <w:lang w:val="en-US" w:eastAsia="zh-CN"/>
        </w:rPr>
        <w:t>4</w:t>
      </w:r>
      <w:r>
        <w:rPr>
          <w:rFonts w:hint="eastAsia" w:ascii="宋体" w:hAnsi="宋体" w:cs="宋体"/>
          <w:bCs/>
          <w:lang w:eastAsia="zh-CN"/>
        </w:rPr>
        <w:t>:00</w:t>
      </w:r>
      <w:r>
        <w:rPr>
          <w:rFonts w:hint="eastAsia" w:ascii="宋体" w:hAnsi="宋体" w:cs="宋体"/>
          <w:bCs/>
        </w:rPr>
        <w:t>〗</w:t>
      </w:r>
      <w:r>
        <w:rPr>
          <w:rFonts w:hint="eastAsia" w:ascii="宋体" w:hAnsi="宋体" w:cs="宋体"/>
          <w:bCs/>
          <w:lang w:eastAsia="zh-CN"/>
        </w:rPr>
        <w:t>（</w:t>
      </w:r>
      <w:r>
        <w:rPr>
          <w:rFonts w:hint="eastAsia" w:ascii="宋体" w:hAnsi="宋体" w:cs="宋体"/>
          <w:bCs/>
          <w:lang w:val="en-US" w:eastAsia="zh-CN"/>
        </w:rPr>
        <w:t>不含</w:t>
      </w:r>
      <w:r>
        <w:rPr>
          <w:rFonts w:hint="eastAsia" w:ascii="宋体" w:hAnsi="宋体" w:cs="宋体"/>
          <w:bCs/>
          <w:lang w:eastAsia="zh-CN"/>
        </w:rPr>
        <w:t>）</w:t>
      </w:r>
      <w:r>
        <w:rPr>
          <w:rFonts w:hint="eastAsia" w:ascii="宋体" w:hAnsi="宋体" w:cs="宋体"/>
          <w:bCs/>
        </w:rPr>
        <w:t>。</w:t>
      </w:r>
      <w:r>
        <w:rPr>
          <w:rFonts w:hint="eastAsia" w:ascii="宋体" w:hAnsi="宋体" w:cs="宋体"/>
          <w:color w:val="000000"/>
          <w:kern w:val="0"/>
        </w:rPr>
        <w:t>（具体以销售机构规定为准）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投资者在非工作时间（包括在非开放日）内提出申购或赎回本理财计划的申请，申购或赎回申请将在第二个工作日工作时间内予以确认。未确认的申购或赎回申请可以在确认日期前一工作日</w:t>
      </w:r>
      <w:r>
        <w:rPr>
          <w:rFonts w:hint="eastAsia" w:ascii="宋体" w:hAnsi="宋体" w:cs="宋体"/>
          <w:bCs/>
          <w:lang w:val="en-US" w:eastAsia="zh-CN"/>
        </w:rPr>
        <w:t>2</w:t>
      </w:r>
      <w:r>
        <w:rPr>
          <w:rFonts w:hint="eastAsia" w:ascii="宋体" w:hAnsi="宋体" w:cs="宋体"/>
          <w:bCs/>
          <w:lang w:val="en-US" w:eastAsia="zh-CN"/>
        </w:rPr>
        <w:t>4</w:t>
      </w:r>
      <w:r>
        <w:rPr>
          <w:rFonts w:hint="eastAsia" w:ascii="宋体" w:hAnsi="宋体" w:cs="宋体"/>
          <w:bCs/>
          <w:lang w:eastAsia="zh-CN"/>
        </w:rPr>
        <w:t>:00</w:t>
      </w:r>
      <w:r>
        <w:rPr>
          <w:rFonts w:hint="eastAsia" w:ascii="宋体" w:hAnsi="宋体" w:cs="宋体"/>
          <w:bCs/>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48"/>
        </w:numPr>
        <w:spacing w:line="360" w:lineRule="auto"/>
        <w:ind w:firstLine="480" w:firstLineChars="200"/>
        <w:jc w:val="left"/>
        <w:rPr>
          <w:rFonts w:hint="eastAsia" w:ascii="宋体" w:hAnsi="宋体" w:cs="宋体"/>
          <w:bCs/>
        </w:rPr>
      </w:pPr>
      <w:r>
        <w:rPr>
          <w:rFonts w:hint="eastAsia" w:ascii="宋体" w:hAnsi="宋体" w:cs="宋体"/>
          <w:bCs/>
        </w:rPr>
        <w:t>如新增申购使得单一投资者持有份额比例超过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7"/>
        </w:numPr>
        <w:spacing w:line="360" w:lineRule="auto"/>
        <w:ind w:firstLine="480" w:firstLineChars="200"/>
        <w:jc w:val="left"/>
        <w:rPr>
          <w:rFonts w:ascii="宋体" w:hAnsi="宋体" w:cs="宋体"/>
          <w:bCs/>
        </w:rPr>
      </w:pPr>
      <w:r>
        <w:rPr>
          <w:rFonts w:hint="eastAsia" w:ascii="宋体" w:hAnsi="宋体" w:cs="宋体"/>
          <w:bCs/>
        </w:rPr>
        <w:t>到账时间</w:t>
      </w:r>
    </w:p>
    <w:p>
      <w:pPr>
        <w:spacing w:line="360" w:lineRule="auto"/>
        <w:ind w:firstLine="480" w:firstLineChars="200"/>
        <w:jc w:val="left"/>
        <w:rPr>
          <w:rFonts w:ascii="宋体" w:hAnsi="宋体" w:cs="宋体"/>
          <w:bCs/>
        </w:rPr>
      </w:pPr>
      <w:r>
        <w:rPr>
          <w:rFonts w:hint="eastAsia" w:ascii="宋体" w:hAnsi="宋体" w:cs="宋体"/>
          <w:bCs/>
        </w:rPr>
        <w:t>赎回资金确认后，〖1〗个工作日内（遇节假日顺延）将一次性支付，该资金对应的收益支付方式见本说明书第九条收益计算与支付相应条款。如遇资金在途或法定工作日调整，实际资金到账日以公告为准。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rPr>
        <w:t>（具体以销售机构规定为准）</w:t>
      </w:r>
    </w:p>
    <w:p>
      <w:pPr>
        <w:numPr>
          <w:ilvl w:val="0"/>
          <w:numId w:val="47"/>
        </w:numPr>
        <w:spacing w:line="360" w:lineRule="auto"/>
        <w:ind w:firstLine="480" w:firstLineChars="200"/>
        <w:jc w:val="left"/>
        <w:rPr>
          <w:rFonts w:ascii="宋体" w:hAnsi="宋体" w:cs="宋体"/>
          <w:bCs/>
        </w:rPr>
      </w:pPr>
      <w:r>
        <w:rPr>
          <w:rFonts w:hint="eastAsia" w:ascii="宋体" w:hAnsi="宋体" w:cs="宋体"/>
          <w:bCs/>
        </w:rPr>
        <w:t>巨额赎回处理</w:t>
      </w:r>
    </w:p>
    <w:p>
      <w:pPr>
        <w:numPr>
          <w:ilvl w:val="0"/>
          <w:numId w:val="49"/>
        </w:numPr>
        <w:spacing w:line="360" w:lineRule="auto"/>
        <w:ind w:firstLine="480" w:firstLineChars="200"/>
        <w:jc w:val="left"/>
        <w:rPr>
          <w:rFonts w:hint="eastAsia" w:ascii="宋体" w:hAnsi="宋体" w:cs="宋体"/>
          <w:bCs/>
        </w:rPr>
      </w:pPr>
      <w:r>
        <w:rPr>
          <w:rFonts w:hint="eastAsia" w:ascii="宋体" w:hAnsi="宋体" w:cs="宋体"/>
          <w:bCs/>
        </w:rPr>
        <w:t>巨额赎回认定</w:t>
      </w:r>
    </w:p>
    <w:p>
      <w:pPr>
        <w:spacing w:line="360" w:lineRule="auto"/>
        <w:ind w:firstLine="480" w:firstLineChars="200"/>
        <w:jc w:val="left"/>
        <w:rPr>
          <w:rFonts w:ascii="宋体" w:hAnsi="宋体" w:cs="宋体"/>
          <w:bCs/>
        </w:rPr>
      </w:pPr>
      <w:r>
        <w:rPr>
          <w:rFonts w:hint="eastAsia" w:ascii="宋体" w:hAnsi="宋体" w:cs="宋体"/>
          <w:bCs/>
        </w:rPr>
        <w:t>理财计划存续期内，若理财计划开放日净赎回申请份额超过上一日日终理财计划总份额〖10%〗时，即构成巨额赎回。</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巨额赎回处理</w:t>
      </w:r>
    </w:p>
    <w:p>
      <w:pPr>
        <w:spacing w:line="360" w:lineRule="auto"/>
        <w:ind w:firstLine="480" w:firstLineChars="200"/>
        <w:jc w:val="left"/>
        <w:rPr>
          <w:rFonts w:ascii="宋体" w:hAnsi="宋体" w:cs="宋体"/>
          <w:bCs/>
        </w:rPr>
      </w:pPr>
      <w:r>
        <w:rPr>
          <w:rFonts w:hint="eastAsia" w:ascii="宋体" w:hAnsi="宋体" w:cs="宋体"/>
          <w:bCs/>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全部赎回</w:t>
      </w:r>
    </w:p>
    <w:p>
      <w:pPr>
        <w:spacing w:line="360" w:lineRule="auto"/>
        <w:ind w:firstLine="480" w:firstLineChars="200"/>
        <w:jc w:val="left"/>
        <w:rPr>
          <w:rFonts w:ascii="宋体" w:hAnsi="宋体" w:cs="宋体"/>
          <w:bCs/>
        </w:rPr>
      </w:pPr>
      <w:r>
        <w:rPr>
          <w:rFonts w:hint="eastAsia" w:ascii="宋体" w:hAnsi="宋体" w:cs="宋体"/>
          <w:bCs/>
        </w:rPr>
        <w:t>当管理人认为全额兑付投资者的赎回申请将不会对本理财计划净值造成较大波动或给本理财计划造成重大损失时，按正常赎回程序执行。</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拒绝超出部分的赎回申请</w:t>
      </w:r>
    </w:p>
    <w:p>
      <w:pPr>
        <w:spacing w:line="360" w:lineRule="auto"/>
        <w:ind w:firstLine="480" w:firstLineChars="200"/>
        <w:jc w:val="left"/>
        <w:rPr>
          <w:rFonts w:hint="eastAsia" w:ascii="宋体" w:hAnsi="宋体" w:cs="宋体"/>
          <w:bCs/>
        </w:rPr>
      </w:pPr>
      <w:r>
        <w:rPr>
          <w:rFonts w:hint="eastAsia" w:ascii="宋体" w:hAnsi="宋体" w:cs="宋体"/>
          <w:bCs/>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在理财计划存续期内，管理人有权根据市场情况调整巨额赎回金额比例，并及时进行对外公告。</w:t>
      </w:r>
    </w:p>
    <w:p>
      <w:pPr>
        <w:numPr>
          <w:ilvl w:val="0"/>
          <w:numId w:val="47"/>
        </w:numPr>
        <w:spacing w:line="360" w:lineRule="auto"/>
        <w:ind w:firstLine="480" w:firstLineChars="200"/>
        <w:jc w:val="left"/>
        <w:rPr>
          <w:rFonts w:ascii="宋体" w:hAnsi="宋体" w:cs="宋体"/>
          <w:bCs/>
        </w:rPr>
      </w:pPr>
      <w:r>
        <w:rPr>
          <w:rFonts w:hint="eastAsia" w:ascii="宋体" w:hAnsi="宋体" w:cs="宋体"/>
          <w:bCs/>
        </w:rPr>
        <w:t>暂停申购、赎回及延期支付赎回的情形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发生以下情形，管理人可暂停接受全部或部分投资者的申购申请：</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理财计划资产规模过大，继续接受申购可能对理财计划业绩产生负面影响，从而损害现有份额持有人利益的情形时。</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当管理人认为某笔申购申请会有损于其他份额持有人利益的情形时。</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发生以下情形，对超出前一日终理财计划总份额10%的赎回申请，管理人可暂停接受全部或部分、延期办理投资者的赎回申请：</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理财计划发生巨额赎回情形时。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当继续</w:t>
      </w:r>
      <w:r>
        <w:rPr>
          <w:rFonts w:ascii="宋体" w:hAnsi="宋体" w:cs="宋体"/>
          <w:bCs/>
        </w:rPr>
        <w:t>接受赎回申请将损害存量投资者利益的情形</w:t>
      </w:r>
      <w:r>
        <w:rPr>
          <w:rFonts w:hint="eastAsia" w:ascii="宋体" w:hAnsi="宋体" w:cs="宋体"/>
          <w:bCs/>
        </w:rPr>
        <w:t>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w:t>
      </w:r>
      <w:r>
        <w:rPr>
          <w:rFonts w:ascii="宋体" w:hAnsi="宋体" w:cs="宋体"/>
          <w:bCs/>
        </w:rPr>
        <w:t>前一估值日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发生以下情形，管理人对已接受的赎回申请，可延期支付赎回款项：</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因不可抗力等原因，导致管理人接受赎回申请后无法及时兑付的情形时。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连续</w:t>
      </w:r>
      <w:r>
        <w:rPr>
          <w:rFonts w:ascii="宋体" w:hAnsi="宋体" w:cs="宋体"/>
          <w:bCs/>
        </w:rPr>
        <w:t>2</w:t>
      </w:r>
      <w:r>
        <w:rPr>
          <w:rFonts w:hint="eastAsia" w:ascii="宋体" w:hAnsi="宋体" w:cs="宋体"/>
          <w:bCs/>
        </w:rPr>
        <w:t>日</w:t>
      </w:r>
      <w:r>
        <w:rPr>
          <w:rFonts w:ascii="宋体" w:hAnsi="宋体" w:cs="宋体"/>
          <w:bCs/>
        </w:rPr>
        <w:t>（含）以上开放日发生巨额赎回的</w:t>
      </w:r>
      <w:r>
        <w:rPr>
          <w:rFonts w:hint="eastAsia" w:ascii="宋体" w:hAnsi="宋体" w:cs="宋体"/>
          <w:bCs/>
        </w:rPr>
        <w:t>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当前</w:t>
      </w:r>
      <w:r>
        <w:rPr>
          <w:rFonts w:ascii="宋体" w:hAnsi="宋体" w:cs="宋体"/>
          <w:bCs/>
        </w:rPr>
        <w:t>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到期清算</w:t>
      </w:r>
    </w:p>
    <w:p>
      <w:pPr>
        <w:spacing w:line="360" w:lineRule="auto"/>
        <w:ind w:firstLine="480" w:firstLineChars="200"/>
        <w:jc w:val="left"/>
        <w:rPr>
          <w:rFonts w:ascii="宋体" w:hAnsi="宋体" w:cs="宋体"/>
          <w:bCs/>
        </w:rPr>
      </w:pPr>
      <w:r>
        <w:rPr>
          <w:rFonts w:hint="eastAsia" w:ascii="宋体" w:hAnsi="宋体" w:cs="宋体"/>
          <w:bCs/>
        </w:rPr>
        <w:t>正常到期清算：本理财计划终止后，管理人将按照清算后的资产净值按持有份额比例对投资者进行分配，并通过销售机构最快〖1〗个工作日内（遇节假日顺延）将资金按规定的要求划入投资者授权指定的理财账户。</w:t>
      </w:r>
      <w:r>
        <w:rPr>
          <w:rFonts w:hint="eastAsia" w:ascii="宋体" w:hAnsi="宋体" w:cs="宋体"/>
          <w:color w:val="000000"/>
          <w:kern w:val="0"/>
        </w:rPr>
        <w:t>（具体以销售机构规定为准）</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提前终止</w:t>
      </w:r>
    </w:p>
    <w:p>
      <w:pPr>
        <w:spacing w:line="360" w:lineRule="auto"/>
        <w:ind w:firstLine="480" w:firstLineChars="200"/>
        <w:jc w:val="left"/>
        <w:rPr>
          <w:rFonts w:hint="eastAsia" w:ascii="宋体" w:hAnsi="宋体" w:cs="宋体"/>
          <w:bCs/>
        </w:rPr>
      </w:pPr>
      <w:r>
        <w:rPr>
          <w:rFonts w:hint="eastAsia" w:ascii="宋体" w:hAnsi="宋体" w:cs="宋体"/>
          <w:bCs/>
        </w:rPr>
        <w:t>在理财计划期限内，管理人根据投资情况有提前终止权，于本理财计划提前终止日前</w:t>
      </w:r>
      <w:r>
        <w:rPr>
          <w:rFonts w:hint="eastAsia" w:ascii="宋体" w:hAnsi="宋体" w:cs="宋体"/>
        </w:rPr>
        <w:t>〖</w:t>
      </w:r>
      <w:r>
        <w:rPr>
          <w:rFonts w:hint="eastAsia" w:ascii="宋体" w:hAnsi="宋体" w:cs="宋体"/>
          <w:bCs/>
        </w:rPr>
        <w:t>2</w:t>
      </w:r>
      <w:r>
        <w:rPr>
          <w:rFonts w:hint="eastAsia" w:ascii="宋体" w:hAnsi="宋体" w:cs="宋体"/>
          <w:bCs/>
          <w:color w:val="000000"/>
        </w:rPr>
        <w:t>〗</w:t>
      </w:r>
      <w:r>
        <w:rPr>
          <w:rFonts w:hint="eastAsia" w:ascii="宋体" w:hAnsi="宋体" w:cs="宋体"/>
          <w:bCs/>
        </w:rPr>
        <w:t>个工作日通过管理人或销售机构发布提前终止公告，并于终止日后</w:t>
      </w:r>
      <w:r>
        <w:rPr>
          <w:rFonts w:hint="eastAsia" w:ascii="宋体" w:hAnsi="宋体" w:cs="宋体"/>
        </w:rPr>
        <w:t>〖</w:t>
      </w:r>
      <w:r>
        <w:rPr>
          <w:rFonts w:hint="eastAsia" w:ascii="宋体" w:hAnsi="宋体" w:cs="宋体"/>
          <w:szCs w:val="21"/>
        </w:rPr>
        <w:t>3</w:t>
      </w:r>
      <w:r>
        <w:rPr>
          <w:rFonts w:hint="eastAsia" w:ascii="宋体" w:hAnsi="宋体" w:cs="宋体"/>
          <w:bCs/>
          <w:color w:val="000000"/>
        </w:rPr>
        <w:t>〗</w:t>
      </w:r>
      <w:r>
        <w:rPr>
          <w:rFonts w:hint="eastAsia" w:ascii="宋体" w:hAnsi="宋体" w:cs="宋体"/>
          <w:bCs/>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rPr>
      </w:pPr>
      <w:r>
        <w:rPr>
          <w:rFonts w:hint="eastAsia" w:ascii="宋体" w:hAnsi="宋体" w:cs="宋体"/>
          <w:b/>
        </w:rPr>
        <w:t>如发生以下事项时，管理人可对本理财计划行使全部或部分提前终止权：</w:t>
      </w:r>
    </w:p>
    <w:p>
      <w:pPr>
        <w:numPr>
          <w:ilvl w:val="0"/>
          <w:numId w:val="53"/>
        </w:numPr>
        <w:spacing w:line="360" w:lineRule="auto"/>
        <w:ind w:firstLine="482" w:firstLineChars="200"/>
        <w:jc w:val="left"/>
        <w:rPr>
          <w:rFonts w:ascii="宋体" w:hAnsi="宋体" w:cs="宋体"/>
          <w:b/>
        </w:rPr>
      </w:pPr>
      <w:r>
        <w:rPr>
          <w:rFonts w:hint="eastAsia" w:ascii="宋体" w:hAnsi="宋体" w:cs="宋体"/>
          <w:b/>
        </w:rPr>
        <w:t>如因本理财计划资产运作模式等与法律法规、规章的规定或者监管部门的要求等存在冲突导致理财计划必须提前终止的。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国家有关法律、法规、规章、政策的改变、紧急措施的出台、理财市场环境发生重大变化等导致理财计划必须提前终止的。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因不可抗力因素导致本理财计划必须提前终止的。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理财计划的投资策略已不适合当前的市场环境的。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市场收益率大幅波动，可能或实质影响理财计划投资收益的。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融资人行使提前到期或还款权利的。</w:t>
      </w:r>
    </w:p>
    <w:p>
      <w:pPr>
        <w:numPr>
          <w:ilvl w:val="0"/>
          <w:numId w:val="53"/>
        </w:numPr>
        <w:spacing w:line="360" w:lineRule="auto"/>
        <w:ind w:firstLine="482" w:firstLineChars="200"/>
        <w:jc w:val="left"/>
        <w:rPr>
          <w:rFonts w:ascii="宋体" w:hAnsi="宋体" w:cs="宋体"/>
          <w:b/>
        </w:rPr>
      </w:pPr>
      <w:r>
        <w:rPr>
          <w:rFonts w:hint="eastAsia" w:ascii="宋体" w:hAnsi="宋体" w:cs="宋体"/>
          <w:b/>
        </w:rPr>
        <w:t>管理人认为应该提前终止的其他情形。</w:t>
      </w:r>
    </w:p>
    <w:p>
      <w:pPr>
        <w:numPr>
          <w:ilvl w:val="0"/>
          <w:numId w:val="44"/>
        </w:numPr>
        <w:spacing w:line="360" w:lineRule="auto"/>
        <w:ind w:firstLine="482" w:firstLineChars="200"/>
        <w:jc w:val="left"/>
        <w:outlineLvl w:val="2"/>
        <w:rPr>
          <w:rFonts w:hint="eastAsia" w:ascii="宋体" w:hAnsi="宋体" w:cs="宋体"/>
          <w:b/>
        </w:rPr>
      </w:pPr>
      <w:r>
        <w:rPr>
          <w:rFonts w:hint="eastAsia" w:ascii="宋体" w:hAnsi="宋体" w:cs="宋体"/>
          <w:b/>
        </w:rPr>
        <w:t>延期</w:t>
      </w:r>
    </w:p>
    <w:p>
      <w:pPr>
        <w:spacing w:line="360" w:lineRule="auto"/>
        <w:ind w:firstLine="480" w:firstLineChars="200"/>
        <w:jc w:val="left"/>
        <w:rPr>
          <w:rFonts w:hint="eastAsia" w:ascii="宋体" w:hAnsi="宋体" w:cs="宋体"/>
          <w:bCs/>
        </w:rPr>
      </w:pPr>
      <w:r>
        <w:rPr>
          <w:rFonts w:hint="eastAsia" w:ascii="宋体" w:hAnsi="宋体" w:cs="宋体"/>
          <w:bCs/>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4"/>
        </w:numPr>
        <w:spacing w:line="360" w:lineRule="auto"/>
        <w:ind w:firstLine="482" w:firstLineChars="200"/>
        <w:jc w:val="left"/>
        <w:rPr>
          <w:rFonts w:ascii="宋体" w:hAnsi="宋体" w:cs="宋体"/>
          <w:b/>
        </w:rPr>
      </w:pPr>
      <w:r>
        <w:rPr>
          <w:rFonts w:hint="eastAsia" w:ascii="宋体" w:hAnsi="宋体" w:cs="宋体"/>
          <w:b/>
        </w:rPr>
        <w:t>预计在理财计划预计到期日，理财计划资产因市场风险、信用风险等原因无法全部变现。</w:t>
      </w:r>
    </w:p>
    <w:p>
      <w:pPr>
        <w:numPr>
          <w:ilvl w:val="0"/>
          <w:numId w:val="54"/>
        </w:numPr>
        <w:spacing w:line="360" w:lineRule="auto"/>
        <w:ind w:firstLine="482" w:firstLineChars="200"/>
        <w:jc w:val="left"/>
        <w:rPr>
          <w:rFonts w:ascii="宋体" w:hAnsi="宋体" w:cs="宋体"/>
          <w:b/>
        </w:rPr>
      </w:pPr>
      <w:r>
        <w:rPr>
          <w:rFonts w:hint="eastAsia" w:ascii="宋体" w:hAnsi="宋体" w:cs="宋体"/>
          <w:b/>
        </w:rPr>
        <w:t>预计理财计划所投资的信托计划、资管计划、私募基金的受托人或管理人不能按时向管理人划付理财计划的本金和收益。</w:t>
      </w:r>
    </w:p>
    <w:p>
      <w:pPr>
        <w:numPr>
          <w:ilvl w:val="0"/>
          <w:numId w:val="54"/>
        </w:numPr>
        <w:spacing w:line="360" w:lineRule="auto"/>
        <w:ind w:firstLine="482" w:firstLineChars="200"/>
        <w:jc w:val="left"/>
        <w:rPr>
          <w:rFonts w:ascii="宋体" w:hAnsi="宋体" w:cs="宋体"/>
          <w:b/>
        </w:rPr>
      </w:pPr>
      <w:r>
        <w:rPr>
          <w:rFonts w:hint="eastAsia" w:ascii="宋体" w:hAnsi="宋体" w:cs="宋体"/>
          <w:b/>
        </w:rPr>
        <w:t>理财计划财产涉及诉讼或仲裁，且预计诉讼或仲裁执行程序于理财计划到期日尚未终结。</w:t>
      </w:r>
    </w:p>
    <w:p>
      <w:pPr>
        <w:numPr>
          <w:ilvl w:val="0"/>
          <w:numId w:val="54"/>
        </w:numPr>
        <w:spacing w:line="360" w:lineRule="auto"/>
        <w:ind w:firstLine="482" w:firstLineChars="200"/>
        <w:jc w:val="left"/>
        <w:rPr>
          <w:rFonts w:ascii="宋体" w:hAnsi="宋体" w:cs="宋体"/>
          <w:b/>
        </w:rPr>
      </w:pPr>
      <w:r>
        <w:rPr>
          <w:rFonts w:hint="eastAsia" w:ascii="宋体" w:hAnsi="宋体" w:cs="宋体"/>
          <w:b/>
        </w:rPr>
        <w:t>管理人与托管人、销售机构协商一致决定延期。</w:t>
      </w:r>
    </w:p>
    <w:p>
      <w:pPr>
        <w:numPr>
          <w:ilvl w:val="0"/>
          <w:numId w:val="54"/>
        </w:numPr>
        <w:spacing w:line="360" w:lineRule="auto"/>
        <w:ind w:firstLine="482" w:firstLineChars="200"/>
        <w:jc w:val="left"/>
        <w:rPr>
          <w:rFonts w:ascii="宋体" w:hAnsi="宋体" w:cs="宋体"/>
          <w:b/>
        </w:rPr>
      </w:pPr>
      <w:r>
        <w:rPr>
          <w:rFonts w:hint="eastAsia" w:ascii="宋体" w:hAnsi="宋体" w:cs="宋体"/>
          <w:b/>
        </w:rPr>
        <w:t>法律法规规定的或管理人认为有必要延期的其他情形。</w:t>
      </w:r>
    </w:p>
    <w:p>
      <w:pPr>
        <w:spacing w:line="360" w:lineRule="auto"/>
        <w:jc w:val="left"/>
        <w:rPr>
          <w:rFonts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信息披露</w:t>
      </w:r>
    </w:p>
    <w:p>
      <w:pPr>
        <w:numPr>
          <w:ilvl w:val="0"/>
          <w:numId w:val="55"/>
        </w:numPr>
        <w:spacing w:line="360" w:lineRule="auto"/>
        <w:ind w:firstLine="482" w:firstLineChars="200"/>
        <w:jc w:val="left"/>
        <w:outlineLvl w:val="2"/>
        <w:rPr>
          <w:rFonts w:hint="eastAsia" w:ascii="宋体" w:hAnsi="宋体" w:cs="宋体"/>
          <w:b/>
        </w:rPr>
      </w:pPr>
      <w:r>
        <w:rPr>
          <w:rFonts w:hint="eastAsia" w:ascii="宋体" w:hAnsi="宋体" w:cs="宋体"/>
          <w:b/>
        </w:rPr>
        <w:t>披露内容及时间</w:t>
      </w:r>
    </w:p>
    <w:p>
      <w:pPr>
        <w:numPr>
          <w:ilvl w:val="0"/>
          <w:numId w:val="56"/>
        </w:numPr>
        <w:spacing w:line="360" w:lineRule="auto"/>
        <w:ind w:firstLine="482" w:firstLineChars="200"/>
        <w:jc w:val="left"/>
        <w:rPr>
          <w:rFonts w:hint="eastAsia" w:ascii="宋体" w:hAnsi="宋体" w:cs="宋体"/>
          <w:b/>
        </w:rPr>
      </w:pPr>
      <w:r>
        <w:rPr>
          <w:rFonts w:hint="eastAsia" w:ascii="宋体" w:hAnsi="宋体" w:cs="宋体"/>
          <w:b/>
        </w:rPr>
        <w:t>认购信息披露</w:t>
      </w:r>
    </w:p>
    <w:p>
      <w:pPr>
        <w:numPr>
          <w:ilvl w:val="0"/>
          <w:numId w:val="57"/>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7"/>
        </w:numPr>
        <w:spacing w:line="360" w:lineRule="auto"/>
        <w:ind w:firstLine="480" w:firstLineChars="200"/>
        <w:rPr>
          <w:rFonts w:ascii="宋体" w:hAnsi="宋体" w:cs="宋体"/>
          <w:bCs/>
          <w:color w:val="000000"/>
        </w:rPr>
      </w:pPr>
      <w:r>
        <w:rPr>
          <w:rFonts w:hint="eastAsia" w:ascii="宋体" w:hAnsi="宋体" w:cs="宋体"/>
          <w:bCs/>
          <w:color w:val="000000"/>
        </w:rPr>
        <w:t>发行公告：管理人应在理财计划成立日后5个工作日内披露，包括成立日期、募集规模等信息。</w:t>
      </w:r>
    </w:p>
    <w:p>
      <w:pPr>
        <w:numPr>
          <w:ilvl w:val="0"/>
          <w:numId w:val="56"/>
        </w:numPr>
        <w:spacing w:line="360" w:lineRule="auto"/>
        <w:ind w:firstLine="482" w:firstLineChars="200"/>
        <w:jc w:val="left"/>
        <w:rPr>
          <w:rFonts w:hint="eastAsia" w:ascii="宋体" w:hAnsi="宋体" w:cs="宋体"/>
          <w:b/>
        </w:rPr>
      </w:pPr>
      <w:r>
        <w:rPr>
          <w:rFonts w:hint="eastAsia" w:ascii="宋体" w:hAnsi="宋体" w:cs="宋体"/>
          <w:b/>
        </w:rPr>
        <w:t>运作信息披露</w:t>
      </w:r>
    </w:p>
    <w:p>
      <w:pPr>
        <w:numPr>
          <w:ilvl w:val="0"/>
          <w:numId w:val="58"/>
        </w:numPr>
        <w:spacing w:line="360" w:lineRule="auto"/>
        <w:ind w:firstLine="480" w:firstLineChars="200"/>
        <w:rPr>
          <w:rFonts w:hint="eastAsia" w:ascii="宋体" w:hAnsi="宋体" w:cs="宋体"/>
          <w:bCs/>
          <w:color w:val="000000"/>
        </w:rPr>
      </w:pPr>
      <w:r>
        <w:rPr>
          <w:rFonts w:hint="eastAsia" w:ascii="宋体" w:hAnsi="宋体" w:cs="宋体"/>
          <w:bCs/>
          <w:color w:val="000000"/>
        </w:rPr>
        <w:t>当日每万份理财产品收益：管理人将根据产品实际投资运作情况计算产品存续期内每个产品开放日的当日每万份理财产品收益，并于下一产品开放日公布。非产品开放日的每万份理财产品收益将于下一产品开放日公布。</w:t>
      </w:r>
    </w:p>
    <w:p>
      <w:pPr>
        <w:numPr>
          <w:ilvl w:val="0"/>
          <w:numId w:val="58"/>
        </w:numPr>
        <w:spacing w:line="360" w:lineRule="auto"/>
        <w:ind w:firstLine="480"/>
        <w:rPr>
          <w:rFonts w:hint="eastAsia" w:ascii="宋体" w:hAnsi="宋体" w:cs="宋体"/>
          <w:b/>
        </w:rPr>
      </w:pPr>
      <w:r>
        <w:rPr>
          <w:rFonts w:hint="eastAsia" w:ascii="宋体" w:hAnsi="宋体" w:cs="宋体"/>
          <w:bCs/>
          <w:color w:val="000000"/>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58"/>
        </w:numPr>
        <w:spacing w:line="360" w:lineRule="auto"/>
        <w:ind w:firstLine="480" w:firstLineChars="200"/>
        <w:rPr>
          <w:rFonts w:hint="eastAsia" w:ascii="宋体" w:hAnsi="宋体" w:cs="宋体"/>
          <w:b/>
        </w:rPr>
      </w:pPr>
      <w:r>
        <w:rPr>
          <w:rFonts w:hint="eastAsia" w:ascii="宋体" w:hAnsi="宋体" w:cs="宋体"/>
          <w:bCs/>
          <w:color w:val="000000"/>
        </w:rPr>
        <w:t>到期报告：管理人应在理财计划到期后5个工作日内披露，包括存续期限、到期兑付净值、收益分配情况等信息。</w:t>
      </w:r>
    </w:p>
    <w:p>
      <w:pPr>
        <w:numPr>
          <w:ilvl w:val="0"/>
          <w:numId w:val="56"/>
        </w:numPr>
        <w:spacing w:line="360" w:lineRule="auto"/>
        <w:ind w:firstLine="482" w:firstLineChars="200"/>
        <w:jc w:val="left"/>
        <w:rPr>
          <w:rFonts w:hint="eastAsia" w:ascii="宋体" w:hAnsi="宋体" w:cs="宋体"/>
          <w:b/>
        </w:rPr>
      </w:pPr>
      <w:r>
        <w:rPr>
          <w:rFonts w:hint="eastAsia" w:ascii="宋体" w:hAnsi="宋体" w:cs="宋体"/>
          <w:b/>
        </w:rPr>
        <w:t>临时信息披露</w:t>
      </w:r>
    </w:p>
    <w:p>
      <w:pPr>
        <w:numPr>
          <w:ilvl w:val="0"/>
          <w:numId w:val="59"/>
        </w:numPr>
        <w:spacing w:line="360" w:lineRule="auto"/>
        <w:ind w:firstLine="480" w:firstLineChars="200"/>
        <w:rPr>
          <w:rFonts w:hint="eastAsia" w:ascii="宋体" w:hAnsi="宋体" w:cs="宋体"/>
          <w:bCs/>
          <w:color w:val="000000"/>
        </w:rPr>
      </w:pPr>
      <w:r>
        <w:rPr>
          <w:rFonts w:hint="eastAsia" w:ascii="宋体" w:hAnsi="宋体" w:cs="宋体"/>
          <w:bCs/>
          <w:color w:val="000000"/>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5"/>
        </w:numPr>
        <w:spacing w:line="360" w:lineRule="auto"/>
        <w:ind w:firstLine="482" w:firstLineChars="200"/>
        <w:jc w:val="left"/>
        <w:outlineLvl w:val="2"/>
        <w:rPr>
          <w:rFonts w:hint="eastAsia" w:ascii="宋体" w:hAnsi="宋体" w:cs="宋体"/>
          <w:b/>
        </w:rPr>
      </w:pPr>
      <w:r>
        <w:rPr>
          <w:rFonts w:hint="eastAsia" w:ascii="宋体" w:hAnsi="宋体" w:cs="宋体"/>
          <w:b/>
        </w:rPr>
        <w:t>披露方式</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其他</w:t>
      </w:r>
    </w:p>
    <w:p>
      <w:pPr>
        <w:numPr>
          <w:ilvl w:val="0"/>
          <w:numId w:val="60"/>
        </w:numPr>
        <w:spacing w:line="360" w:lineRule="auto"/>
        <w:ind w:firstLine="482" w:firstLineChars="200"/>
        <w:jc w:val="left"/>
        <w:outlineLvl w:val="2"/>
        <w:rPr>
          <w:rFonts w:hint="eastAsia" w:ascii="宋体" w:hAnsi="宋体" w:cs="宋体"/>
          <w:b/>
        </w:rPr>
      </w:pPr>
      <w:r>
        <w:rPr>
          <w:rFonts w:hint="eastAsia" w:ascii="宋体" w:hAnsi="宋体" w:cs="宋体"/>
          <w:b/>
        </w:rPr>
        <w:t>追索条款</w:t>
      </w:r>
    </w:p>
    <w:p>
      <w:pPr>
        <w:spacing w:line="360" w:lineRule="auto"/>
        <w:ind w:firstLine="480" w:firstLineChars="200"/>
        <w:rPr>
          <w:rFonts w:hint="eastAsia" w:ascii="宋体" w:hAnsi="宋体" w:cs="宋体"/>
          <w:b/>
        </w:rPr>
      </w:pPr>
      <w:r>
        <w:rPr>
          <w:rFonts w:hint="eastAsia" w:ascii="宋体" w:hAnsi="宋体" w:cs="宋体"/>
          <w:bCs/>
          <w:color w:val="000000"/>
        </w:rPr>
        <w:t>若本理财计划所投资的金融资产到期不能全部偿付导致资产减值甚至本金大幅损失，则本公司将以管理人名义，代表投资者利益行使诉讼权利或者实施其他法律行为。</w:t>
      </w:r>
    </w:p>
    <w:p>
      <w:pPr>
        <w:numPr>
          <w:ilvl w:val="0"/>
          <w:numId w:val="60"/>
        </w:numPr>
        <w:spacing w:line="360" w:lineRule="auto"/>
        <w:ind w:firstLine="482" w:firstLineChars="200"/>
        <w:jc w:val="left"/>
        <w:outlineLvl w:val="2"/>
        <w:rPr>
          <w:rFonts w:hint="eastAsia" w:ascii="宋体" w:hAnsi="宋体" w:cs="宋体"/>
          <w:b/>
        </w:rPr>
      </w:pPr>
      <w:r>
        <w:rPr>
          <w:rFonts w:hint="eastAsia" w:ascii="宋体" w:hAnsi="宋体" w:cs="宋体"/>
          <w:b/>
        </w:rPr>
        <w:t>信息安全</w:t>
      </w:r>
    </w:p>
    <w:p>
      <w:pPr>
        <w:spacing w:line="360" w:lineRule="auto"/>
        <w:ind w:firstLine="480" w:firstLineChars="200"/>
        <w:rPr>
          <w:rFonts w:hint="eastAsia" w:ascii="宋体" w:hAnsi="宋体" w:cs="宋体"/>
          <w:b/>
        </w:rPr>
      </w:pPr>
      <w:r>
        <w:rPr>
          <w:rFonts w:hint="eastAsia" w:ascii="宋体" w:hAnsi="宋体" w:cs="宋体"/>
          <w:bCs/>
          <w:color w:val="000000"/>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0"/>
        </w:numPr>
        <w:spacing w:line="360" w:lineRule="auto"/>
        <w:ind w:firstLine="482" w:firstLineChars="200"/>
        <w:jc w:val="left"/>
        <w:outlineLvl w:val="2"/>
        <w:rPr>
          <w:rFonts w:hint="eastAsia" w:ascii="宋体" w:hAnsi="宋体" w:cs="宋体"/>
          <w:b/>
        </w:rPr>
      </w:pPr>
      <w:r>
        <w:rPr>
          <w:rFonts w:hint="eastAsia" w:ascii="宋体" w:hAnsi="宋体" w:cs="宋体"/>
          <w:b/>
        </w:rPr>
        <w:t>争议解决</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60"/>
        </w:numPr>
        <w:spacing w:line="360" w:lineRule="auto"/>
        <w:ind w:firstLine="482" w:firstLineChars="200"/>
        <w:jc w:val="left"/>
        <w:outlineLvl w:val="2"/>
        <w:rPr>
          <w:rFonts w:hint="eastAsia" w:ascii="宋体" w:hAnsi="宋体" w:cs="宋体"/>
          <w:b/>
        </w:rPr>
      </w:pPr>
      <w:r>
        <w:rPr>
          <w:rFonts w:hint="eastAsia" w:ascii="宋体" w:hAnsi="宋体" w:cs="宋体"/>
          <w:b/>
        </w:rPr>
        <w:t>特别提示</w:t>
      </w:r>
    </w:p>
    <w:p>
      <w:pPr>
        <w:spacing w:line="360" w:lineRule="auto"/>
        <w:ind w:firstLine="482" w:firstLineChars="200"/>
        <w:rPr>
          <w:rFonts w:hint="eastAsia" w:ascii="宋体" w:hAnsi="宋体" w:cs="宋体"/>
          <w:b/>
          <w:color w:val="000000"/>
        </w:rPr>
      </w:pPr>
      <w:r>
        <w:rPr>
          <w:rFonts w:hint="eastAsia" w:ascii="宋体" w:hAnsi="宋体" w:cs="宋体"/>
          <w:b/>
          <w:color w:val="000000"/>
        </w:rPr>
        <w:t>本理财计划为非保本净值型理财产品，管理人不对本理财计划承诺保本或保证收益。投资者本金可能会因市场变动及上述风险因素而蒙受损失。投资者应充分认识投资风险，谨慎投资。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w:t>
    </w:r>
    <w:r>
      <w:rPr>
        <w:rFonts w:hint="eastAsia"/>
        <w:b/>
        <w:bCs/>
        <w:lang w:val="en-US" w:eastAsia="zh-CN"/>
      </w:rPr>
      <w:t>须</w:t>
    </w:r>
    <w:r>
      <w:rPr>
        <w:rFonts w:hint="eastAsia"/>
        <w:b/>
        <w:bCs/>
      </w:rPr>
      <w:t>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690E7AE"/>
    <w:multiLevelType w:val="singleLevel"/>
    <w:tmpl w:val="8690E7AE"/>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0D39FA"/>
    <w:multiLevelType w:val="singleLevel"/>
    <w:tmpl w:val="AC0D39FA"/>
    <w:lvl w:ilvl="0" w:tentative="0">
      <w:start w:val="1"/>
      <w:numFmt w:val="decimal"/>
      <w:suff w:val="nothing"/>
      <w:lvlText w:val="%1．"/>
      <w:lvlJc w:val="left"/>
      <w:pPr>
        <w:ind w:left="0" w:firstLine="400"/>
      </w:pPr>
      <w:rPr>
        <w:rFonts w:hint="default"/>
      </w:rPr>
    </w:lvl>
  </w:abstractNum>
  <w:abstractNum w:abstractNumId="17">
    <w:nsid w:val="AC40BB97"/>
    <w:multiLevelType w:val="singleLevel"/>
    <w:tmpl w:val="AC40BB97"/>
    <w:lvl w:ilvl="0" w:tentative="0">
      <w:start w:val="1"/>
      <w:numFmt w:val="chineseCounting"/>
      <w:suff w:val="nothing"/>
      <w:lvlText w:val="%1、"/>
      <w:lvlJc w:val="left"/>
      <w:rPr>
        <w:rFonts w:hint="eastAsia"/>
      </w:rPr>
    </w:lvl>
  </w:abstractNum>
  <w:abstractNum w:abstractNumId="18">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9">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0">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FF37F09"/>
    <w:multiLevelType w:val="singleLevel"/>
    <w:tmpl w:val="EFF37F09"/>
    <w:lvl w:ilvl="0" w:tentative="0">
      <w:start w:val="1"/>
      <w:numFmt w:val="decimal"/>
      <w:suff w:val="nothing"/>
      <w:lvlText w:val="（%1）"/>
      <w:lvlJc w:val="left"/>
      <w:rPr>
        <w:rFonts w:hint="default"/>
        <w:b w:val="0"/>
        <w:bCs w:val="0"/>
      </w:rPr>
    </w:lvl>
  </w:abstractNum>
  <w:abstractNum w:abstractNumId="2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1">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2">
    <w:nsid w:val="F574F5B6"/>
    <w:multiLevelType w:val="singleLevel"/>
    <w:tmpl w:val="F574F5B6"/>
    <w:lvl w:ilvl="0" w:tentative="0">
      <w:start w:val="1"/>
      <w:numFmt w:val="decimal"/>
      <w:suff w:val="nothing"/>
      <w:lvlText w:val="（%1）"/>
      <w:lvlJc w:val="left"/>
    </w:lvl>
  </w:abstractNum>
  <w:abstractNum w:abstractNumId="33">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4">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5">
    <w:nsid w:val="07239BE5"/>
    <w:multiLevelType w:val="singleLevel"/>
    <w:tmpl w:val="07239BE5"/>
    <w:lvl w:ilvl="0" w:tentative="0">
      <w:start w:val="1"/>
      <w:numFmt w:val="decimal"/>
      <w:suff w:val="nothing"/>
      <w:lvlText w:val="（%1）"/>
      <w:lvlJc w:val="left"/>
    </w:lvl>
  </w:abstractNum>
  <w:abstractNum w:abstractNumId="36">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7">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9">
    <w:nsid w:val="167B0BB4"/>
    <w:multiLevelType w:val="singleLevel"/>
    <w:tmpl w:val="167B0BB4"/>
    <w:lvl w:ilvl="0" w:tentative="0">
      <w:start w:val="1"/>
      <w:numFmt w:val="decimal"/>
      <w:suff w:val="nothing"/>
      <w:lvlText w:val="（%1）"/>
      <w:lvlJc w:val="left"/>
    </w:lvl>
  </w:abstractNum>
  <w:abstractNum w:abstractNumId="40">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1">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3">
    <w:nsid w:val="2CB63BE6"/>
    <w:multiLevelType w:val="singleLevel"/>
    <w:tmpl w:val="2CB63BE6"/>
    <w:lvl w:ilvl="0" w:tentative="0">
      <w:start w:val="1"/>
      <w:numFmt w:val="decimal"/>
      <w:suff w:val="nothing"/>
      <w:lvlText w:val="（%1）"/>
      <w:lvlJc w:val="left"/>
      <w:rPr>
        <w:rFonts w:hint="default"/>
        <w:b w:val="0"/>
        <w:bCs w:val="0"/>
      </w:rPr>
    </w:lvl>
  </w:abstractNum>
  <w:abstractNum w:abstractNumId="44">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5">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6">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7">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8">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9">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0">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1">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2">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3">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4">
    <w:nsid w:val="5BA91325"/>
    <w:multiLevelType w:val="singleLevel"/>
    <w:tmpl w:val="5BA91325"/>
    <w:lvl w:ilvl="0" w:tentative="0">
      <w:start w:val="1"/>
      <w:numFmt w:val="decimal"/>
      <w:suff w:val="nothing"/>
      <w:lvlText w:val="（%1）"/>
      <w:lvlJc w:val="left"/>
    </w:lvl>
  </w:abstractNum>
  <w:abstractNum w:abstractNumId="55">
    <w:nsid w:val="61F30F62"/>
    <w:multiLevelType w:val="singleLevel"/>
    <w:tmpl w:val="61F30F62"/>
    <w:lvl w:ilvl="0" w:tentative="0">
      <w:start w:val="1"/>
      <w:numFmt w:val="decimal"/>
      <w:suff w:val="nothing"/>
      <w:lvlText w:val="（%1）"/>
      <w:lvlJc w:val="left"/>
      <w:rPr>
        <w:rFonts w:hint="default"/>
        <w:b w:val="0"/>
        <w:bCs w:val="0"/>
      </w:rPr>
    </w:lvl>
  </w:abstractNum>
  <w:abstractNum w:abstractNumId="56">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57">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58">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abstractNum w:abstractNumId="59">
    <w:nsid w:val="7E072F1A"/>
    <w:multiLevelType w:val="singleLevel"/>
    <w:tmpl w:val="7E072F1A"/>
    <w:lvl w:ilvl="0" w:tentative="0">
      <w:start w:val="1"/>
      <w:numFmt w:val="decimal"/>
      <w:suff w:val="space"/>
      <w:lvlText w:val="%1."/>
      <w:lvlJc w:val="left"/>
    </w:lvl>
  </w:abstractNum>
  <w:num w:numId="1">
    <w:abstractNumId w:val="17"/>
  </w:num>
  <w:num w:numId="2">
    <w:abstractNumId w:val="0"/>
  </w:num>
  <w:num w:numId="3">
    <w:abstractNumId w:val="47"/>
  </w:num>
  <w:num w:numId="4">
    <w:abstractNumId w:val="41"/>
  </w:num>
  <w:num w:numId="5">
    <w:abstractNumId w:val="57"/>
  </w:num>
  <w:num w:numId="6">
    <w:abstractNumId w:val="36"/>
  </w:num>
  <w:num w:numId="7">
    <w:abstractNumId w:val="58"/>
  </w:num>
  <w:num w:numId="8">
    <w:abstractNumId w:val="52"/>
  </w:num>
  <w:num w:numId="9">
    <w:abstractNumId w:val="49"/>
  </w:num>
  <w:num w:numId="10">
    <w:abstractNumId w:val="33"/>
  </w:num>
  <w:num w:numId="11">
    <w:abstractNumId w:val="30"/>
  </w:num>
  <w:num w:numId="12">
    <w:abstractNumId w:val="37"/>
  </w:num>
  <w:num w:numId="13">
    <w:abstractNumId w:val="29"/>
  </w:num>
  <w:num w:numId="14">
    <w:abstractNumId w:val="21"/>
  </w:num>
  <w:num w:numId="15">
    <w:abstractNumId w:val="13"/>
  </w:num>
  <w:num w:numId="16">
    <w:abstractNumId w:val="19"/>
  </w:num>
  <w:num w:numId="17">
    <w:abstractNumId w:val="10"/>
  </w:num>
  <w:num w:numId="18">
    <w:abstractNumId w:val="59"/>
  </w:num>
  <w:num w:numId="19">
    <w:abstractNumId w:val="11"/>
  </w:num>
  <w:num w:numId="20">
    <w:abstractNumId w:val="9"/>
  </w:num>
  <w:num w:numId="21">
    <w:abstractNumId w:val="35"/>
  </w:num>
  <w:num w:numId="22">
    <w:abstractNumId w:val="7"/>
  </w:num>
  <w:num w:numId="23">
    <w:abstractNumId w:val="1"/>
  </w:num>
  <w:num w:numId="24">
    <w:abstractNumId w:val="48"/>
  </w:num>
  <w:num w:numId="25">
    <w:abstractNumId w:val="3"/>
  </w:num>
  <w:num w:numId="26">
    <w:abstractNumId w:val="32"/>
  </w:num>
  <w:num w:numId="27">
    <w:abstractNumId w:val="54"/>
  </w:num>
  <w:num w:numId="28">
    <w:abstractNumId w:val="42"/>
  </w:num>
  <w:num w:numId="29">
    <w:abstractNumId w:val="23"/>
  </w:num>
  <w:num w:numId="30">
    <w:abstractNumId w:val="8"/>
  </w:num>
  <w:num w:numId="31">
    <w:abstractNumId w:val="51"/>
  </w:num>
  <w:num w:numId="32">
    <w:abstractNumId w:val="6"/>
  </w:num>
  <w:num w:numId="33">
    <w:abstractNumId w:val="40"/>
  </w:num>
  <w:num w:numId="34">
    <w:abstractNumId w:val="56"/>
  </w:num>
  <w:num w:numId="35">
    <w:abstractNumId w:val="34"/>
  </w:num>
  <w:num w:numId="36">
    <w:abstractNumId w:val="22"/>
  </w:num>
  <w:num w:numId="37">
    <w:abstractNumId w:val="44"/>
  </w:num>
  <w:num w:numId="38">
    <w:abstractNumId w:val="25"/>
  </w:num>
  <w:num w:numId="39">
    <w:abstractNumId w:val="46"/>
  </w:num>
  <w:num w:numId="40">
    <w:abstractNumId w:val="4"/>
  </w:num>
  <w:num w:numId="41">
    <w:abstractNumId w:val="26"/>
  </w:num>
  <w:num w:numId="42">
    <w:abstractNumId w:val="18"/>
  </w:num>
  <w:num w:numId="43">
    <w:abstractNumId w:val="16"/>
  </w:num>
  <w:num w:numId="44">
    <w:abstractNumId w:val="50"/>
  </w:num>
  <w:num w:numId="45">
    <w:abstractNumId w:val="38"/>
  </w:num>
  <w:num w:numId="46">
    <w:abstractNumId w:val="20"/>
  </w:num>
  <w:num w:numId="47">
    <w:abstractNumId w:val="31"/>
  </w:num>
  <w:num w:numId="48">
    <w:abstractNumId w:val="27"/>
  </w:num>
  <w:num w:numId="49">
    <w:abstractNumId w:val="28"/>
  </w:num>
  <w:num w:numId="50">
    <w:abstractNumId w:val="55"/>
  </w:num>
  <w:num w:numId="51">
    <w:abstractNumId w:val="43"/>
  </w:num>
  <w:num w:numId="52">
    <w:abstractNumId w:val="2"/>
  </w:num>
  <w:num w:numId="53">
    <w:abstractNumId w:val="53"/>
  </w:num>
  <w:num w:numId="54">
    <w:abstractNumId w:val="14"/>
  </w:num>
  <w:num w:numId="55">
    <w:abstractNumId w:val="12"/>
  </w:num>
  <w:num w:numId="56">
    <w:abstractNumId w:val="15"/>
  </w:num>
  <w:num w:numId="57">
    <w:abstractNumId w:val="39"/>
  </w:num>
  <w:num w:numId="58">
    <w:abstractNumId w:val="24"/>
  </w:num>
  <w:num w:numId="59">
    <w:abstractNumId w:val="5"/>
  </w:num>
  <w:num w:numId="6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78B4"/>
    <w:rsid w:val="00021BE6"/>
    <w:rsid w:val="0004098C"/>
    <w:rsid w:val="00042468"/>
    <w:rsid w:val="00045100"/>
    <w:rsid w:val="00047907"/>
    <w:rsid w:val="000877EC"/>
    <w:rsid w:val="000C0172"/>
    <w:rsid w:val="00100E5A"/>
    <w:rsid w:val="0011018A"/>
    <w:rsid w:val="00123D4B"/>
    <w:rsid w:val="00130957"/>
    <w:rsid w:val="0013303A"/>
    <w:rsid w:val="00140631"/>
    <w:rsid w:val="00151ECC"/>
    <w:rsid w:val="00156D18"/>
    <w:rsid w:val="00162EB5"/>
    <w:rsid w:val="001851F1"/>
    <w:rsid w:val="001A1328"/>
    <w:rsid w:val="001B6B29"/>
    <w:rsid w:val="0025303E"/>
    <w:rsid w:val="002632D1"/>
    <w:rsid w:val="00297145"/>
    <w:rsid w:val="002A54C7"/>
    <w:rsid w:val="002C2C8D"/>
    <w:rsid w:val="002D02A6"/>
    <w:rsid w:val="002D5AC8"/>
    <w:rsid w:val="002F61C5"/>
    <w:rsid w:val="003158E5"/>
    <w:rsid w:val="00343831"/>
    <w:rsid w:val="00347E96"/>
    <w:rsid w:val="003672B2"/>
    <w:rsid w:val="00375767"/>
    <w:rsid w:val="003A3E69"/>
    <w:rsid w:val="003C4216"/>
    <w:rsid w:val="003E58AC"/>
    <w:rsid w:val="004178FF"/>
    <w:rsid w:val="00453BD7"/>
    <w:rsid w:val="004605B1"/>
    <w:rsid w:val="0046352D"/>
    <w:rsid w:val="00480C66"/>
    <w:rsid w:val="0048601A"/>
    <w:rsid w:val="004A3039"/>
    <w:rsid w:val="004A3A51"/>
    <w:rsid w:val="004A5D04"/>
    <w:rsid w:val="004F79A4"/>
    <w:rsid w:val="00510FDF"/>
    <w:rsid w:val="005330F5"/>
    <w:rsid w:val="00542EB4"/>
    <w:rsid w:val="00546D0F"/>
    <w:rsid w:val="0055786D"/>
    <w:rsid w:val="00576D4B"/>
    <w:rsid w:val="00584815"/>
    <w:rsid w:val="005968F9"/>
    <w:rsid w:val="005B013E"/>
    <w:rsid w:val="005B1B23"/>
    <w:rsid w:val="005C4155"/>
    <w:rsid w:val="005D09A4"/>
    <w:rsid w:val="005D25FF"/>
    <w:rsid w:val="005D59CE"/>
    <w:rsid w:val="005D7FD8"/>
    <w:rsid w:val="005E00F7"/>
    <w:rsid w:val="005E0C13"/>
    <w:rsid w:val="005E7C2B"/>
    <w:rsid w:val="0060037C"/>
    <w:rsid w:val="00605011"/>
    <w:rsid w:val="00610026"/>
    <w:rsid w:val="00621B0B"/>
    <w:rsid w:val="00622129"/>
    <w:rsid w:val="006229B3"/>
    <w:rsid w:val="00644CDB"/>
    <w:rsid w:val="00686DDD"/>
    <w:rsid w:val="006B3E04"/>
    <w:rsid w:val="006C61AA"/>
    <w:rsid w:val="006E572E"/>
    <w:rsid w:val="00736F65"/>
    <w:rsid w:val="0074692F"/>
    <w:rsid w:val="00772BF5"/>
    <w:rsid w:val="00834591"/>
    <w:rsid w:val="00864495"/>
    <w:rsid w:val="008A206D"/>
    <w:rsid w:val="008B32E6"/>
    <w:rsid w:val="008C4316"/>
    <w:rsid w:val="008C4F31"/>
    <w:rsid w:val="00964F17"/>
    <w:rsid w:val="009952A1"/>
    <w:rsid w:val="009B44C2"/>
    <w:rsid w:val="009B4EEC"/>
    <w:rsid w:val="009D297F"/>
    <w:rsid w:val="009F11F1"/>
    <w:rsid w:val="009F2238"/>
    <w:rsid w:val="00A304D3"/>
    <w:rsid w:val="00A36A7B"/>
    <w:rsid w:val="00A66DA5"/>
    <w:rsid w:val="00A801BC"/>
    <w:rsid w:val="00A9377E"/>
    <w:rsid w:val="00AB05B7"/>
    <w:rsid w:val="00AC6F91"/>
    <w:rsid w:val="00AE24E4"/>
    <w:rsid w:val="00AF6666"/>
    <w:rsid w:val="00B04CE0"/>
    <w:rsid w:val="00B34D3B"/>
    <w:rsid w:val="00B946CD"/>
    <w:rsid w:val="00BB196A"/>
    <w:rsid w:val="00C01306"/>
    <w:rsid w:val="00C35C9E"/>
    <w:rsid w:val="00C518AB"/>
    <w:rsid w:val="00C51B22"/>
    <w:rsid w:val="00C723BD"/>
    <w:rsid w:val="00C7272E"/>
    <w:rsid w:val="00C748E6"/>
    <w:rsid w:val="00C83394"/>
    <w:rsid w:val="00C86327"/>
    <w:rsid w:val="00CB411D"/>
    <w:rsid w:val="00CB5BDC"/>
    <w:rsid w:val="00CD1EE3"/>
    <w:rsid w:val="00CD6702"/>
    <w:rsid w:val="00D019F4"/>
    <w:rsid w:val="00D02DAB"/>
    <w:rsid w:val="00D04564"/>
    <w:rsid w:val="00D07A21"/>
    <w:rsid w:val="00D20CD0"/>
    <w:rsid w:val="00D32EDE"/>
    <w:rsid w:val="00D3556B"/>
    <w:rsid w:val="00D537BB"/>
    <w:rsid w:val="00D564BF"/>
    <w:rsid w:val="00D66B9B"/>
    <w:rsid w:val="00D76188"/>
    <w:rsid w:val="00D76E37"/>
    <w:rsid w:val="00D9525E"/>
    <w:rsid w:val="00D96A1B"/>
    <w:rsid w:val="00D96A4F"/>
    <w:rsid w:val="00DE6A66"/>
    <w:rsid w:val="00E24992"/>
    <w:rsid w:val="00E30F71"/>
    <w:rsid w:val="00E37572"/>
    <w:rsid w:val="00E93B67"/>
    <w:rsid w:val="00EB36B6"/>
    <w:rsid w:val="00EE5183"/>
    <w:rsid w:val="00EF02E9"/>
    <w:rsid w:val="00F01F00"/>
    <w:rsid w:val="00F21A02"/>
    <w:rsid w:val="00F25702"/>
    <w:rsid w:val="00F265D6"/>
    <w:rsid w:val="00F4769C"/>
    <w:rsid w:val="00F61BEE"/>
    <w:rsid w:val="00FB08BD"/>
    <w:rsid w:val="00FC0FC8"/>
    <w:rsid w:val="00FD10B4"/>
    <w:rsid w:val="00FD2910"/>
    <w:rsid w:val="01364432"/>
    <w:rsid w:val="01523B8E"/>
    <w:rsid w:val="01E60817"/>
    <w:rsid w:val="03D14B4D"/>
    <w:rsid w:val="048C214F"/>
    <w:rsid w:val="056B17EF"/>
    <w:rsid w:val="056C133C"/>
    <w:rsid w:val="05E05E4D"/>
    <w:rsid w:val="05E31C0B"/>
    <w:rsid w:val="06420CFA"/>
    <w:rsid w:val="06503B59"/>
    <w:rsid w:val="06AB349F"/>
    <w:rsid w:val="06BA3213"/>
    <w:rsid w:val="0752555A"/>
    <w:rsid w:val="07E45984"/>
    <w:rsid w:val="0828699A"/>
    <w:rsid w:val="087D1C06"/>
    <w:rsid w:val="097E3F67"/>
    <w:rsid w:val="0A1347F5"/>
    <w:rsid w:val="0A2A32B9"/>
    <w:rsid w:val="0B0A5C5E"/>
    <w:rsid w:val="0B8E27E3"/>
    <w:rsid w:val="0BDE0A4F"/>
    <w:rsid w:val="0BF71AE2"/>
    <w:rsid w:val="0CA6603D"/>
    <w:rsid w:val="0D0B1B00"/>
    <w:rsid w:val="0D9C23B8"/>
    <w:rsid w:val="0E383496"/>
    <w:rsid w:val="0E4A4B6F"/>
    <w:rsid w:val="0E89341F"/>
    <w:rsid w:val="0EAE473F"/>
    <w:rsid w:val="0EF65480"/>
    <w:rsid w:val="0F190E6E"/>
    <w:rsid w:val="1052658C"/>
    <w:rsid w:val="10E7087B"/>
    <w:rsid w:val="10FA5463"/>
    <w:rsid w:val="10FA718D"/>
    <w:rsid w:val="119F69A6"/>
    <w:rsid w:val="11A84D8B"/>
    <w:rsid w:val="11BA058F"/>
    <w:rsid w:val="12081858"/>
    <w:rsid w:val="12B62B3B"/>
    <w:rsid w:val="13031153"/>
    <w:rsid w:val="13181417"/>
    <w:rsid w:val="14C57FED"/>
    <w:rsid w:val="150C5665"/>
    <w:rsid w:val="153D73AB"/>
    <w:rsid w:val="15B14B38"/>
    <w:rsid w:val="15C56302"/>
    <w:rsid w:val="160940BB"/>
    <w:rsid w:val="1659752C"/>
    <w:rsid w:val="16E43A7F"/>
    <w:rsid w:val="17AC2E32"/>
    <w:rsid w:val="17CF6B80"/>
    <w:rsid w:val="18235DC2"/>
    <w:rsid w:val="185A3DA1"/>
    <w:rsid w:val="18711387"/>
    <w:rsid w:val="198C4B50"/>
    <w:rsid w:val="19F13F4F"/>
    <w:rsid w:val="1A102675"/>
    <w:rsid w:val="1A3860E6"/>
    <w:rsid w:val="1A9B55D1"/>
    <w:rsid w:val="1AFD083A"/>
    <w:rsid w:val="1B280245"/>
    <w:rsid w:val="1B925DC3"/>
    <w:rsid w:val="1BBE4697"/>
    <w:rsid w:val="1BD772E4"/>
    <w:rsid w:val="1C446748"/>
    <w:rsid w:val="1C4B2805"/>
    <w:rsid w:val="1D552DD9"/>
    <w:rsid w:val="1D71653B"/>
    <w:rsid w:val="1DAB6D83"/>
    <w:rsid w:val="1E3173A3"/>
    <w:rsid w:val="1E6A3FAF"/>
    <w:rsid w:val="1E8B6C30"/>
    <w:rsid w:val="1EB16016"/>
    <w:rsid w:val="1EF32B89"/>
    <w:rsid w:val="1F015EF5"/>
    <w:rsid w:val="1F0F5A19"/>
    <w:rsid w:val="1F1D6E1F"/>
    <w:rsid w:val="1F3E7F7D"/>
    <w:rsid w:val="1F51312D"/>
    <w:rsid w:val="1FC9553A"/>
    <w:rsid w:val="20185399"/>
    <w:rsid w:val="204D3B12"/>
    <w:rsid w:val="205A2AB3"/>
    <w:rsid w:val="20B6224D"/>
    <w:rsid w:val="21025026"/>
    <w:rsid w:val="22A04AF7"/>
    <w:rsid w:val="22D3594B"/>
    <w:rsid w:val="22F12819"/>
    <w:rsid w:val="23753F06"/>
    <w:rsid w:val="238E1AAE"/>
    <w:rsid w:val="23AB33C0"/>
    <w:rsid w:val="24345B9A"/>
    <w:rsid w:val="245E14E1"/>
    <w:rsid w:val="24655F28"/>
    <w:rsid w:val="2483647E"/>
    <w:rsid w:val="25631299"/>
    <w:rsid w:val="256F076F"/>
    <w:rsid w:val="25CD6B90"/>
    <w:rsid w:val="26182DC9"/>
    <w:rsid w:val="26276A8B"/>
    <w:rsid w:val="26820AF7"/>
    <w:rsid w:val="28887DDA"/>
    <w:rsid w:val="288C3BCA"/>
    <w:rsid w:val="292668E3"/>
    <w:rsid w:val="297C267E"/>
    <w:rsid w:val="2A1B5D68"/>
    <w:rsid w:val="2A5975B6"/>
    <w:rsid w:val="2A991D32"/>
    <w:rsid w:val="2AB92324"/>
    <w:rsid w:val="2AD6555A"/>
    <w:rsid w:val="2B376BE0"/>
    <w:rsid w:val="2BF61F2D"/>
    <w:rsid w:val="2C1B1E9D"/>
    <w:rsid w:val="2C673924"/>
    <w:rsid w:val="2CAB68C5"/>
    <w:rsid w:val="2D242E79"/>
    <w:rsid w:val="2E141F09"/>
    <w:rsid w:val="2E701821"/>
    <w:rsid w:val="2EBC6D03"/>
    <w:rsid w:val="2EBF57B7"/>
    <w:rsid w:val="2EE40EF9"/>
    <w:rsid w:val="2F1F666C"/>
    <w:rsid w:val="2FD32A37"/>
    <w:rsid w:val="30551FFC"/>
    <w:rsid w:val="311F702A"/>
    <w:rsid w:val="315E22B4"/>
    <w:rsid w:val="316354EE"/>
    <w:rsid w:val="31A82883"/>
    <w:rsid w:val="31C27A3E"/>
    <w:rsid w:val="320E3E15"/>
    <w:rsid w:val="32C937E9"/>
    <w:rsid w:val="3315435F"/>
    <w:rsid w:val="333859A2"/>
    <w:rsid w:val="333F6AA7"/>
    <w:rsid w:val="33702146"/>
    <w:rsid w:val="34016892"/>
    <w:rsid w:val="3480359E"/>
    <w:rsid w:val="34BE4ED5"/>
    <w:rsid w:val="35476F5E"/>
    <w:rsid w:val="36631FD8"/>
    <w:rsid w:val="36E72D9B"/>
    <w:rsid w:val="3734371B"/>
    <w:rsid w:val="37613660"/>
    <w:rsid w:val="379F2ED6"/>
    <w:rsid w:val="37C93E17"/>
    <w:rsid w:val="37CA172C"/>
    <w:rsid w:val="37D84FAF"/>
    <w:rsid w:val="38071350"/>
    <w:rsid w:val="38224FD0"/>
    <w:rsid w:val="3A2E3E15"/>
    <w:rsid w:val="3A3E2041"/>
    <w:rsid w:val="3B131EF6"/>
    <w:rsid w:val="3B490D86"/>
    <w:rsid w:val="3C2F2290"/>
    <w:rsid w:val="3C980D44"/>
    <w:rsid w:val="3CA71260"/>
    <w:rsid w:val="3DBB1D7A"/>
    <w:rsid w:val="3DFF0FFD"/>
    <w:rsid w:val="3EA67C14"/>
    <w:rsid w:val="3EAD1B36"/>
    <w:rsid w:val="3F056B9E"/>
    <w:rsid w:val="3F35243F"/>
    <w:rsid w:val="3F354A62"/>
    <w:rsid w:val="3FF54C55"/>
    <w:rsid w:val="406370BC"/>
    <w:rsid w:val="40C878EE"/>
    <w:rsid w:val="40FB7670"/>
    <w:rsid w:val="41B60000"/>
    <w:rsid w:val="422E7B02"/>
    <w:rsid w:val="423C06E2"/>
    <w:rsid w:val="4254593A"/>
    <w:rsid w:val="42815397"/>
    <w:rsid w:val="42C94634"/>
    <w:rsid w:val="431306AF"/>
    <w:rsid w:val="43DD7224"/>
    <w:rsid w:val="45540446"/>
    <w:rsid w:val="45BB5620"/>
    <w:rsid w:val="45F127ED"/>
    <w:rsid w:val="46263D02"/>
    <w:rsid w:val="46A20063"/>
    <w:rsid w:val="46BC428B"/>
    <w:rsid w:val="46BF1509"/>
    <w:rsid w:val="46CD66A0"/>
    <w:rsid w:val="46DC2632"/>
    <w:rsid w:val="472803B7"/>
    <w:rsid w:val="472F1C30"/>
    <w:rsid w:val="488B59A4"/>
    <w:rsid w:val="494502E1"/>
    <w:rsid w:val="4A0228AF"/>
    <w:rsid w:val="4A7F0ADF"/>
    <w:rsid w:val="4A874A92"/>
    <w:rsid w:val="4AA612F0"/>
    <w:rsid w:val="4AC240FE"/>
    <w:rsid w:val="4B0D3113"/>
    <w:rsid w:val="4B2511E6"/>
    <w:rsid w:val="4BAF0E40"/>
    <w:rsid w:val="4C4F6CB6"/>
    <w:rsid w:val="4C6B0DDA"/>
    <w:rsid w:val="4C6E1306"/>
    <w:rsid w:val="4D607131"/>
    <w:rsid w:val="4DAC2014"/>
    <w:rsid w:val="4E186164"/>
    <w:rsid w:val="4E2F1033"/>
    <w:rsid w:val="4E8274B0"/>
    <w:rsid w:val="4EFC1B31"/>
    <w:rsid w:val="4F2836A5"/>
    <w:rsid w:val="4FF363B3"/>
    <w:rsid w:val="501216FC"/>
    <w:rsid w:val="50B73634"/>
    <w:rsid w:val="51504FE6"/>
    <w:rsid w:val="52773339"/>
    <w:rsid w:val="52EC1D28"/>
    <w:rsid w:val="53D2659E"/>
    <w:rsid w:val="54D5479D"/>
    <w:rsid w:val="54E91D9C"/>
    <w:rsid w:val="551536F3"/>
    <w:rsid w:val="55995FB6"/>
    <w:rsid w:val="55A47BB4"/>
    <w:rsid w:val="56CB1B5C"/>
    <w:rsid w:val="57BB6218"/>
    <w:rsid w:val="57FF3AAA"/>
    <w:rsid w:val="58DD2EEE"/>
    <w:rsid w:val="58E96C7A"/>
    <w:rsid w:val="599613CD"/>
    <w:rsid w:val="59AD3C67"/>
    <w:rsid w:val="59C233CC"/>
    <w:rsid w:val="5A245D75"/>
    <w:rsid w:val="5AB470A7"/>
    <w:rsid w:val="5B0D630F"/>
    <w:rsid w:val="5C3C3DDC"/>
    <w:rsid w:val="5D160516"/>
    <w:rsid w:val="5D204720"/>
    <w:rsid w:val="5D7D0F36"/>
    <w:rsid w:val="5DB61BFF"/>
    <w:rsid w:val="5DEF454B"/>
    <w:rsid w:val="5E5A6C63"/>
    <w:rsid w:val="5EB26079"/>
    <w:rsid w:val="5F3C6712"/>
    <w:rsid w:val="5F4B58F3"/>
    <w:rsid w:val="5F8A152B"/>
    <w:rsid w:val="602071F1"/>
    <w:rsid w:val="603570AA"/>
    <w:rsid w:val="6053481F"/>
    <w:rsid w:val="60541CA4"/>
    <w:rsid w:val="605C31B9"/>
    <w:rsid w:val="60AB2000"/>
    <w:rsid w:val="61023345"/>
    <w:rsid w:val="611975D3"/>
    <w:rsid w:val="61D85325"/>
    <w:rsid w:val="61F4710A"/>
    <w:rsid w:val="62096A76"/>
    <w:rsid w:val="62860AAA"/>
    <w:rsid w:val="629D5796"/>
    <w:rsid w:val="65352C54"/>
    <w:rsid w:val="653A3E9D"/>
    <w:rsid w:val="65EC2DE4"/>
    <w:rsid w:val="66C12522"/>
    <w:rsid w:val="671E2162"/>
    <w:rsid w:val="67274D12"/>
    <w:rsid w:val="684A0366"/>
    <w:rsid w:val="68D8721E"/>
    <w:rsid w:val="68F4269B"/>
    <w:rsid w:val="6925055B"/>
    <w:rsid w:val="69541EE2"/>
    <w:rsid w:val="6AE15D69"/>
    <w:rsid w:val="6B5C0D49"/>
    <w:rsid w:val="6B610D05"/>
    <w:rsid w:val="6BAC21D5"/>
    <w:rsid w:val="6BDE6E57"/>
    <w:rsid w:val="6CED1CB3"/>
    <w:rsid w:val="6D3B42C3"/>
    <w:rsid w:val="6E7232F1"/>
    <w:rsid w:val="6E7E575F"/>
    <w:rsid w:val="6ECA4D4A"/>
    <w:rsid w:val="6EF15941"/>
    <w:rsid w:val="6F0D0497"/>
    <w:rsid w:val="6F9921A1"/>
    <w:rsid w:val="70241E90"/>
    <w:rsid w:val="70ED5A1D"/>
    <w:rsid w:val="72266E6B"/>
    <w:rsid w:val="72BB119D"/>
    <w:rsid w:val="73407EBD"/>
    <w:rsid w:val="73EF4563"/>
    <w:rsid w:val="74175679"/>
    <w:rsid w:val="742646B1"/>
    <w:rsid w:val="744124AA"/>
    <w:rsid w:val="74664F47"/>
    <w:rsid w:val="7566433B"/>
    <w:rsid w:val="764958B9"/>
    <w:rsid w:val="765D0BDD"/>
    <w:rsid w:val="76D14B12"/>
    <w:rsid w:val="76FF57FE"/>
    <w:rsid w:val="775A02A3"/>
    <w:rsid w:val="77E0572E"/>
    <w:rsid w:val="77ED4104"/>
    <w:rsid w:val="78847B81"/>
    <w:rsid w:val="78EF4372"/>
    <w:rsid w:val="79771B00"/>
    <w:rsid w:val="7980282D"/>
    <w:rsid w:val="798F6426"/>
    <w:rsid w:val="799103D8"/>
    <w:rsid w:val="7ACA272A"/>
    <w:rsid w:val="7B0E7C70"/>
    <w:rsid w:val="7B3B27CC"/>
    <w:rsid w:val="7BC66B36"/>
    <w:rsid w:val="7D286515"/>
    <w:rsid w:val="7DDB06E0"/>
    <w:rsid w:val="7E6F339A"/>
    <w:rsid w:val="7E810662"/>
    <w:rsid w:val="7EE564F9"/>
    <w:rsid w:val="7F590AE3"/>
    <w:rsid w:val="7F615972"/>
    <w:rsid w:val="7FDF45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4"/>
      <w:szCs w:val="24"/>
      <w:lang w:val="en-US" w:eastAsia="zh-CN" w:bidi="ar-SA"/>
    </w:rPr>
  </w:style>
  <w:style w:type="paragraph" w:styleId="2">
    <w:name w:val="heading 1"/>
    <w:basedOn w:val="1"/>
    <w:next w:val="1"/>
    <w:link w:val="23"/>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0"/>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19"/>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style>
  <w:style w:type="paragraph" w:styleId="5">
    <w:name w:val="annotation text"/>
    <w:basedOn w:val="1"/>
    <w:link w:val="24"/>
    <w:uiPriority w:val="0"/>
    <w:pPr>
      <w:jc w:val="left"/>
    </w:pPr>
  </w:style>
  <w:style w:type="paragraph" w:styleId="6">
    <w:name w:val="Balloon Text"/>
    <w:basedOn w:val="1"/>
    <w:link w:val="21"/>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2"/>
    <w:uiPriority w:val="0"/>
    <w:rPr>
      <w:b/>
      <w:bCs/>
    </w:rPr>
  </w:style>
  <w:style w:type="table" w:styleId="12">
    <w:name w:val="Table Grid"/>
    <w:basedOn w:val="11"/>
    <w:unhideWhenUsed/>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color w:val="000000"/>
      <w:sz w:val="24"/>
      <w:szCs w:val="24"/>
      <w:lang w:val="en-US" w:eastAsia="zh-CN" w:bidi="ar-SA"/>
    </w:rPr>
  </w:style>
  <w:style w:type="paragraph" w:customStyle="1" w:styleId="18">
    <w:name w:val="List Paragraph"/>
    <w:basedOn w:val="1"/>
    <w:unhideWhenUsed/>
    <w:uiPriority w:val="99"/>
    <w:pPr>
      <w:ind w:firstLine="420" w:firstLineChars="200"/>
    </w:pPr>
  </w:style>
  <w:style w:type="character" w:customStyle="1" w:styleId="19">
    <w:name w:val="标题 3 字符"/>
    <w:link w:val="4"/>
    <w:uiPriority w:val="0"/>
    <w:rPr>
      <w:rFonts w:hAnsi="Calibri" w:eastAsia="宋体"/>
      <w:b/>
      <w:sz w:val="24"/>
    </w:rPr>
  </w:style>
  <w:style w:type="character" w:customStyle="1" w:styleId="20">
    <w:name w:val="标题 2 字符"/>
    <w:link w:val="3"/>
    <w:uiPriority w:val="0"/>
    <w:rPr>
      <w:rFonts w:ascii="Arial" w:hAnsi="Arial" w:eastAsia="宋体"/>
      <w:b/>
      <w:sz w:val="24"/>
    </w:rPr>
  </w:style>
  <w:style w:type="character" w:customStyle="1" w:styleId="21">
    <w:name w:val="批注框文本 字符"/>
    <w:link w:val="6"/>
    <w:uiPriority w:val="0"/>
    <w:rPr>
      <w:rFonts w:ascii="Calibri" w:hAnsi="Calibri" w:cs="黑体"/>
      <w:kern w:val="2"/>
      <w:sz w:val="18"/>
      <w:szCs w:val="18"/>
    </w:rPr>
  </w:style>
  <w:style w:type="character" w:customStyle="1" w:styleId="22">
    <w:name w:val="批注主题 字符"/>
    <w:link w:val="10"/>
    <w:uiPriority w:val="0"/>
    <w:rPr>
      <w:rFonts w:ascii="Calibri" w:hAnsi="Calibri" w:cs="黑体"/>
      <w:b/>
      <w:bCs/>
      <w:kern w:val="2"/>
      <w:sz w:val="21"/>
      <w:szCs w:val="24"/>
    </w:rPr>
  </w:style>
  <w:style w:type="character" w:customStyle="1" w:styleId="23">
    <w:name w:val="标题 1 字符"/>
    <w:link w:val="2"/>
    <w:uiPriority w:val="0"/>
    <w:rPr>
      <w:rFonts w:eastAsia="宋体"/>
      <w:b/>
      <w:kern w:val="44"/>
      <w:sz w:val="44"/>
    </w:rPr>
  </w:style>
  <w:style w:type="character" w:customStyle="1" w:styleId="24">
    <w:name w:val="批注文字 字符"/>
    <w:link w:val="5"/>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36060</Words>
  <Characters>37783</Characters>
  <Lines>269</Lines>
  <Paragraphs>75</Paragraphs>
  <TotalTime>45</TotalTime>
  <ScaleCrop>false</ScaleCrop>
  <LinksUpToDate>false</LinksUpToDate>
  <CharactersWithSpaces>38035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2022-12-13T07:40:00Z</dcterms:created>
  <dc:creator>Administrator</dc:creator>
  <cp:lastModifiedBy>hccb</cp:lastModifiedBy>
  <dcterms:modified xsi:type="dcterms:W3CDTF">2025-12-02T03:27:26Z</dcterms:modified>
  <dc:title>杭银理财幸福99零钱包理财D款合同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