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outlineLvl w:val="0"/>
        <w:rPr>
          <w:rFonts w:hint="eastAsia" w:ascii="宋体" w:hAnsi="宋体" w:cs="宋体"/>
          <w:b/>
          <w:bCs/>
          <w:color w:val="000000"/>
          <w:sz w:val="44"/>
          <w:szCs w:val="44"/>
        </w:rPr>
      </w:pPr>
      <w:r>
        <w:rPr>
          <w:rFonts w:hint="eastAsia" w:ascii="宋体" w:hAnsi="宋体" w:cs="宋体"/>
          <w:b/>
          <w:bCs/>
          <w:color w:val="000000"/>
          <w:sz w:val="44"/>
          <w:szCs w:val="44"/>
        </w:rPr>
        <w:t>杭银理财投资者权益须知</w:t>
      </w:r>
    </w:p>
    <w:p>
      <w:pPr>
        <w:jc w:val="center"/>
        <w:rPr>
          <w:rFonts w:hint="eastAsia" w:ascii="宋体" w:hAnsi="宋体" w:cs="宋体"/>
          <w:b/>
          <w:bCs/>
          <w:color w:val="000000"/>
          <w:sz w:val="44"/>
          <w:szCs w:val="44"/>
        </w:rPr>
      </w:pPr>
      <w:r>
        <w:rPr>
          <w:rFonts w:hint="eastAsia" w:ascii="宋体" w:hAnsi="宋体" w:cs="宋体"/>
          <w:sz w:val="28"/>
          <w:szCs w:val="28"/>
        </w:rPr>
        <w:t>（202201版）</w:t>
      </w:r>
    </w:p>
    <w:p>
      <w:pPr>
        <w:spacing w:line="360" w:lineRule="auto"/>
        <w:jc w:val="center"/>
        <w:rPr>
          <w:rFonts w:hint="eastAsia" w:ascii="宋体" w:hAnsi="宋体" w:cs="宋体"/>
          <w:b/>
          <w:bCs/>
          <w:u w:val="single"/>
        </w:rPr>
      </w:pPr>
      <w:r>
        <w:rPr>
          <w:rFonts w:hint="eastAsia" w:ascii="宋体" w:hAnsi="宋体" w:cs="宋体"/>
          <w:b/>
          <w:bCs/>
          <w:u w:val="single"/>
        </w:rPr>
        <w:t>理财非存款、产品有风险、投资须谨慎</w:t>
      </w:r>
    </w:p>
    <w:p>
      <w:pPr>
        <w:spacing w:line="360" w:lineRule="auto"/>
        <w:rPr>
          <w:rFonts w:hint="eastAsia" w:ascii="宋体" w:hAnsi="宋体" w:cs="宋体"/>
          <w:kern w:val="0"/>
        </w:rPr>
      </w:pPr>
      <w:r>
        <w:rPr>
          <w:rFonts w:hint="eastAsia" w:ascii="宋体" w:hAnsi="宋体" w:cs="宋体"/>
          <w:kern w:val="0"/>
        </w:rPr>
        <w:t>尊敬的投资者：</w:t>
      </w:r>
    </w:p>
    <w:p>
      <w:pPr>
        <w:spacing w:line="360" w:lineRule="auto"/>
        <w:ind w:firstLine="480" w:firstLineChars="200"/>
        <w:rPr>
          <w:rFonts w:hint="eastAsia" w:ascii="宋体" w:hAnsi="宋体" w:cs="宋体"/>
          <w:kern w:val="0"/>
        </w:rPr>
      </w:pPr>
      <w:r>
        <w:rPr>
          <w:rFonts w:hint="eastAsia" w:ascii="宋体" w:hAnsi="宋体" w:cs="宋体"/>
          <w:kern w:val="0"/>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numPr>
          <w:ilvl w:val="0"/>
          <w:numId w:val="1"/>
        </w:numPr>
        <w:spacing w:line="360" w:lineRule="auto"/>
        <w:ind w:firstLine="482" w:firstLineChars="200"/>
        <w:outlineLvl w:val="1"/>
        <w:rPr>
          <w:rFonts w:hint="eastAsia" w:ascii="宋体" w:hAnsi="宋体" w:cs="宋体"/>
          <w:b/>
          <w:kern w:val="0"/>
        </w:rPr>
      </w:pPr>
      <w:r>
        <w:rPr>
          <w:rFonts w:hint="eastAsia" w:ascii="宋体" w:hAnsi="宋体" w:cs="宋体"/>
          <w:b/>
          <w:kern w:val="0"/>
        </w:rPr>
        <w:t>理财计划办理流程</w:t>
      </w:r>
    </w:p>
    <w:p>
      <w:pPr>
        <w:numPr>
          <w:ilvl w:val="0"/>
          <w:numId w:val="2"/>
        </w:numPr>
        <w:spacing w:line="360" w:lineRule="auto"/>
        <w:ind w:firstLine="480" w:firstLineChars="200"/>
        <w:outlineLvl w:val="2"/>
        <w:rPr>
          <w:rFonts w:hint="eastAsia" w:ascii="宋体" w:hAnsi="宋体" w:cs="宋体"/>
          <w:kern w:val="0"/>
        </w:rPr>
      </w:pPr>
      <w:r>
        <w:rPr>
          <w:rFonts w:hint="eastAsia" w:ascii="宋体" w:hAnsi="宋体" w:cs="宋体"/>
          <w:kern w:val="0"/>
        </w:rPr>
        <w:t>首次在销售机构购买理财的投资者须开立或持有销售机构账户，提供真实身份信息并确认正确的联系方式；该账户用于本理财计划的资金划转及兑付，您应确保持有本理财计划期间指定账户不做销户。</w:t>
      </w:r>
    </w:p>
    <w:p>
      <w:pPr>
        <w:numPr>
          <w:ilvl w:val="0"/>
          <w:numId w:val="2"/>
        </w:numPr>
        <w:spacing w:line="360" w:lineRule="auto"/>
        <w:ind w:firstLine="480" w:firstLineChars="200"/>
        <w:outlineLvl w:val="2"/>
        <w:rPr>
          <w:rFonts w:hint="eastAsia" w:ascii="宋体" w:hAnsi="宋体" w:cs="宋体"/>
          <w:kern w:val="0"/>
        </w:rPr>
      </w:pPr>
      <w:r>
        <w:rPr>
          <w:rFonts w:hint="eastAsia" w:ascii="宋体" w:hAnsi="宋体" w:cs="宋体"/>
          <w:kern w:val="0"/>
        </w:rPr>
        <w:t>首次在销售机构购买杭银理财理财计划的个人投资者须接受并完成销售机构对您的风险承受能力评估，并确认风险承受能力等级不低于本理财计划风险评级。</w:t>
      </w:r>
    </w:p>
    <w:p>
      <w:pPr>
        <w:numPr>
          <w:ilvl w:val="0"/>
          <w:numId w:val="2"/>
        </w:numPr>
        <w:spacing w:line="360" w:lineRule="auto"/>
        <w:ind w:firstLine="480" w:firstLineChars="200"/>
        <w:outlineLvl w:val="2"/>
        <w:rPr>
          <w:rFonts w:hint="eastAsia" w:ascii="宋体" w:hAnsi="宋体" w:cs="宋体"/>
          <w:kern w:val="0"/>
        </w:rPr>
      </w:pPr>
      <w:r>
        <w:rPr>
          <w:rFonts w:hint="eastAsia" w:ascii="宋体" w:hAnsi="宋体" w:cs="宋体"/>
          <w:kern w:val="0"/>
        </w:rPr>
        <w:t>投资者应仔细阅读本理财计划完整合同（包括但不限于理财计划风险揭示书、理财计划产品说明书、投资者权益须知、理财计划投资协议书和理财计划销售协议书）等相关协议文件，确认对理财计划条款及风险理解并无疑问和异议后，自主作出认（申）购和赎回决定，独立抄录风险确认语句并签署相关销售文件，办理理财计划交易手续，自主承担投资风险。</w:t>
      </w:r>
    </w:p>
    <w:p>
      <w:pPr>
        <w:numPr>
          <w:ilvl w:val="0"/>
          <w:numId w:val="2"/>
        </w:numPr>
        <w:spacing w:line="360" w:lineRule="auto"/>
        <w:ind w:firstLine="480" w:firstLineChars="200"/>
        <w:outlineLvl w:val="2"/>
        <w:rPr>
          <w:rFonts w:hint="eastAsia" w:ascii="宋体" w:hAnsi="宋体" w:cs="宋体"/>
          <w:kern w:val="0"/>
        </w:rPr>
      </w:pPr>
      <w:r>
        <w:rPr>
          <w:rFonts w:hint="eastAsia" w:ascii="宋体" w:hAnsi="宋体" w:cs="宋体"/>
          <w:kern w:val="0"/>
        </w:rPr>
        <w:t>投资者如需要认定为合格投资者，除阅读理财计划风险揭示书（三、其他信息提示）中的合格投资者要求并独立抄录确认外，还需配合销售机构提供投资者信息、金融资产证明或纳税凭证等相关证明材料。</w:t>
      </w:r>
    </w:p>
    <w:p>
      <w:pPr>
        <w:numPr>
          <w:ilvl w:val="0"/>
          <w:numId w:val="2"/>
        </w:numPr>
        <w:spacing w:line="360" w:lineRule="auto"/>
        <w:ind w:firstLine="480" w:firstLineChars="200"/>
        <w:outlineLvl w:val="2"/>
        <w:rPr>
          <w:rFonts w:hint="eastAsia" w:ascii="宋体" w:hAnsi="宋体" w:cs="宋体"/>
          <w:kern w:val="0"/>
        </w:rPr>
      </w:pPr>
      <w:r>
        <w:rPr>
          <w:rFonts w:hint="eastAsia" w:ascii="宋体" w:hAnsi="宋体" w:cs="宋体"/>
          <w:kern w:val="0"/>
        </w:rPr>
        <w:t>如在银行营业场所购买杭银理财理财计划，销售机构需对每笔理财计划销售过程同步录音录像。</w:t>
      </w:r>
    </w:p>
    <w:p>
      <w:pPr>
        <w:numPr>
          <w:ilvl w:val="0"/>
          <w:numId w:val="2"/>
        </w:numPr>
        <w:spacing w:line="360" w:lineRule="auto"/>
        <w:ind w:firstLine="480" w:firstLineChars="200"/>
        <w:outlineLvl w:val="2"/>
        <w:rPr>
          <w:rFonts w:hint="eastAsia" w:ascii="宋体" w:hAnsi="宋体" w:cs="宋体"/>
          <w:kern w:val="0"/>
        </w:rPr>
      </w:pPr>
      <w:r>
        <w:rPr>
          <w:rFonts w:hint="eastAsia" w:ascii="宋体" w:hAnsi="宋体" w:cs="宋体"/>
          <w:kern w:val="0"/>
        </w:rPr>
        <w:t>投资者确定交易金额，完成交易申请，并在确认份额后进行查询。</w:t>
      </w:r>
    </w:p>
    <w:p>
      <w:pPr>
        <w:numPr>
          <w:ilvl w:val="0"/>
          <w:numId w:val="3"/>
        </w:numPr>
        <w:spacing w:line="360" w:lineRule="auto"/>
        <w:ind w:firstLine="482" w:firstLineChars="200"/>
        <w:outlineLvl w:val="1"/>
        <w:rPr>
          <w:rFonts w:hint="eastAsia" w:ascii="宋体" w:hAnsi="宋体" w:cs="宋体"/>
          <w:b/>
          <w:kern w:val="0"/>
        </w:rPr>
      </w:pPr>
      <w:r>
        <w:rPr>
          <w:rFonts w:hint="eastAsia" w:ascii="宋体" w:hAnsi="宋体" w:cs="宋体"/>
          <w:b/>
          <w:kern w:val="0"/>
        </w:rPr>
        <w:t>杭银理财产品风险评级</w:t>
      </w:r>
    </w:p>
    <w:p>
      <w:pPr>
        <w:spacing w:line="360" w:lineRule="auto"/>
        <w:ind w:firstLine="480" w:firstLineChars="200"/>
        <w:rPr>
          <w:rFonts w:hint="eastAsia" w:ascii="宋体" w:hAnsi="宋体" w:cs="宋体"/>
          <w:kern w:val="0"/>
        </w:rPr>
      </w:pPr>
      <w:r>
        <w:rPr>
          <w:rFonts w:hint="eastAsia" w:ascii="宋体" w:hAnsi="宋体" w:cs="宋体"/>
          <w:kern w:val="0"/>
        </w:rPr>
        <w:t>产品类型按照风险由低到高依次划分为低风险（R1）、中低风险（R2）、中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tbl>
      <w:tblPr>
        <w:tblStyle w:val="11"/>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kern w:val="0"/>
              </w:rPr>
            </w:pPr>
            <w:r>
              <w:rPr>
                <w:rFonts w:hint="eastAsia" w:ascii="宋体" w:hAnsi="宋体" w:cs="宋体"/>
                <w:b/>
                <w:kern w:val="0"/>
              </w:rPr>
              <w:t>产品风险等级</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kern w:val="0"/>
              </w:rPr>
            </w:pPr>
            <w:r>
              <w:rPr>
                <w:rFonts w:hint="eastAsia" w:ascii="宋体" w:hAnsi="宋体" w:cs="宋体"/>
                <w:b/>
                <w:kern w:val="0"/>
              </w:rPr>
              <w:t>风险等级说明</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kern w:val="0"/>
              </w:rPr>
            </w:pPr>
            <w:r>
              <w:rPr>
                <w:rFonts w:hint="eastAsia" w:ascii="宋体" w:hAnsi="宋体" w:cs="宋体"/>
                <w:b/>
                <w:kern w:val="0"/>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0"/>
              </w:rPr>
            </w:pPr>
            <w:r>
              <w:rPr>
                <w:rFonts w:hint="eastAsia" w:ascii="宋体" w:hAnsi="宋体" w:cs="宋体"/>
                <w:kern w:val="0"/>
              </w:rPr>
              <w:t>R1</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rPr>
            </w:pPr>
            <w:r>
              <w:rPr>
                <w:rFonts w:hint="eastAsia" w:ascii="宋体" w:hAnsi="宋体"/>
                <w:kern w:val="0"/>
              </w:rPr>
              <w:t>产品总体风险程度低，收益波动小，产品本金安全性高，收益不能实现的可能性很小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rPr>
            </w:pPr>
            <w:r>
              <w:rPr>
                <w:rFonts w:hint="eastAsia" w:ascii="宋体" w:hAnsi="宋体" w:cs="宋体"/>
                <w:kern w:val="0"/>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0"/>
              </w:rPr>
            </w:pPr>
            <w:r>
              <w:rPr>
                <w:rFonts w:hint="eastAsia" w:ascii="宋体" w:hAnsi="宋体" w:cs="宋体"/>
                <w:kern w:val="0"/>
              </w:rPr>
              <w:t>R2</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rPr>
            </w:pPr>
            <w:r>
              <w:rPr>
                <w:rFonts w:hint="eastAsia" w:ascii="宋体" w:hAnsi="宋体"/>
                <w:kern w:val="0"/>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rPr>
            </w:pPr>
            <w:r>
              <w:rPr>
                <w:rFonts w:hint="eastAsia" w:ascii="宋体" w:hAnsi="宋体" w:cs="宋体"/>
                <w:kern w:val="0"/>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0"/>
              </w:rPr>
            </w:pPr>
            <w:r>
              <w:rPr>
                <w:rFonts w:hint="eastAsia" w:ascii="宋体" w:hAnsi="宋体" w:cs="宋体"/>
                <w:kern w:val="0"/>
              </w:rPr>
              <w:t>R3</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rPr>
            </w:pPr>
            <w:r>
              <w:rPr>
                <w:rFonts w:hint="eastAsia" w:ascii="宋体" w:hAnsi="宋体"/>
                <w:kern w:val="0"/>
              </w:rPr>
              <w:t>产品总体风险程度适中，收益存在一定的波动，产品本金出现损失的可能性不容忽视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rPr>
            </w:pPr>
            <w:r>
              <w:rPr>
                <w:rFonts w:hint="eastAsia" w:ascii="宋体" w:hAnsi="宋体" w:cs="宋体"/>
                <w:kern w:val="0"/>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404" w:hRule="atLeast"/>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0"/>
              </w:rPr>
            </w:pPr>
            <w:r>
              <w:rPr>
                <w:rFonts w:hint="eastAsia" w:ascii="宋体" w:hAnsi="宋体" w:cs="宋体"/>
                <w:kern w:val="0"/>
              </w:rPr>
              <w:t>R4</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rPr>
            </w:pPr>
            <w:r>
              <w:rPr>
                <w:rFonts w:hint="eastAsia" w:ascii="宋体" w:hAnsi="宋体"/>
                <w:kern w:val="0"/>
              </w:rPr>
              <w:t>产品总体风险程度较高，收益波动较明显，产品本金出现损失的可能性高</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rPr>
            </w:pPr>
            <w:r>
              <w:rPr>
                <w:rFonts w:hint="eastAsia" w:ascii="宋体" w:hAnsi="宋体" w:cs="宋体"/>
                <w:kern w:val="0"/>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0"/>
              </w:rPr>
            </w:pPr>
            <w:r>
              <w:rPr>
                <w:rFonts w:hint="eastAsia" w:ascii="宋体" w:hAnsi="宋体" w:cs="宋体"/>
                <w:kern w:val="0"/>
              </w:rPr>
              <w:t>R5</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rPr>
            </w:pPr>
            <w:r>
              <w:rPr>
                <w:rFonts w:hint="eastAsia" w:ascii="宋体" w:hAnsi="宋体"/>
                <w:kern w:val="0"/>
              </w:rPr>
              <w:t>产品总体风险程度高，收益波动明显，产品本金出现损失的可能性很高，产品本金出现全部损失的可能性不容忽视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rPr>
            </w:pPr>
            <w:r>
              <w:rPr>
                <w:rFonts w:hint="eastAsia" w:ascii="宋体" w:hAnsi="宋体" w:cs="宋体"/>
                <w:kern w:val="0"/>
              </w:rPr>
              <w:t>机构投资者及进取型的个人投资者</w:t>
            </w:r>
          </w:p>
        </w:tc>
      </w:tr>
    </w:tbl>
    <w:p>
      <w:pPr>
        <w:spacing w:line="360" w:lineRule="auto"/>
        <w:ind w:left="480" w:leftChars="200"/>
        <w:outlineLvl w:val="1"/>
        <w:rPr>
          <w:rFonts w:hint="eastAsia" w:ascii="宋体" w:hAnsi="宋体" w:cs="宋体"/>
          <w:b/>
          <w:kern w:val="0"/>
        </w:rPr>
      </w:pPr>
      <w:r>
        <w:rPr>
          <w:rFonts w:hint="eastAsia" w:ascii="宋体" w:hAnsi="宋体" w:cs="宋体"/>
          <w:bCs/>
        </w:rPr>
        <w:t>投资者风险承受能力评级水平以销售机构评估为准。</w:t>
      </w:r>
    </w:p>
    <w:p>
      <w:pPr>
        <w:numPr>
          <w:ilvl w:val="0"/>
          <w:numId w:val="4"/>
        </w:numPr>
        <w:spacing w:line="360" w:lineRule="auto"/>
        <w:ind w:firstLine="482" w:firstLineChars="200"/>
        <w:outlineLvl w:val="1"/>
        <w:rPr>
          <w:rFonts w:hint="eastAsia" w:ascii="宋体" w:hAnsi="宋体" w:cs="宋体"/>
          <w:b/>
          <w:kern w:val="0"/>
        </w:rPr>
      </w:pPr>
      <w:r>
        <w:rPr>
          <w:rFonts w:hint="eastAsia" w:ascii="宋体" w:hAnsi="宋体" w:cs="宋体"/>
          <w:b/>
          <w:kern w:val="0"/>
        </w:rPr>
        <w:t>投资者风险承受能力评估</w:t>
      </w:r>
    </w:p>
    <w:p>
      <w:pPr>
        <w:numPr>
          <w:ilvl w:val="0"/>
          <w:numId w:val="5"/>
        </w:numPr>
        <w:spacing w:line="360" w:lineRule="auto"/>
        <w:ind w:firstLine="480" w:firstLineChars="200"/>
        <w:outlineLvl w:val="2"/>
        <w:rPr>
          <w:rFonts w:hint="eastAsia" w:ascii="宋体" w:hAnsi="宋体" w:cs="宋体"/>
          <w:kern w:val="0"/>
        </w:rPr>
      </w:pPr>
      <w:r>
        <w:rPr>
          <w:rFonts w:hint="eastAsia" w:ascii="宋体" w:hAnsi="宋体" w:cs="宋体"/>
          <w:kern w:val="0"/>
        </w:rPr>
        <w:t>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numPr>
          <w:ilvl w:val="0"/>
          <w:numId w:val="5"/>
        </w:numPr>
        <w:spacing w:line="360" w:lineRule="auto"/>
        <w:ind w:firstLine="480" w:firstLineChars="200"/>
        <w:outlineLvl w:val="2"/>
        <w:rPr>
          <w:rFonts w:hint="eastAsia" w:ascii="宋体" w:hAnsi="宋体" w:cs="宋体"/>
          <w:kern w:val="0"/>
        </w:rPr>
      </w:pPr>
      <w:r>
        <w:rPr>
          <w:rFonts w:hint="eastAsia" w:ascii="宋体" w:hAnsi="宋体" w:cs="宋体"/>
          <w:kern w:val="0"/>
        </w:rPr>
        <w:t>个人投资者风险承受能力评估结果有效期为一年，如风险承受能力评估时效已超过一年，或影响风险承受能力的因素发生变化，请及时完成风险承受能力的重新评估。</w:t>
      </w:r>
    </w:p>
    <w:p>
      <w:pPr>
        <w:numPr>
          <w:ilvl w:val="0"/>
          <w:numId w:val="5"/>
        </w:numPr>
        <w:spacing w:line="360" w:lineRule="auto"/>
        <w:ind w:firstLine="480" w:firstLineChars="200"/>
        <w:outlineLvl w:val="2"/>
        <w:rPr>
          <w:rFonts w:hint="eastAsia" w:ascii="宋体" w:hAnsi="宋体" w:cs="宋体"/>
          <w:kern w:val="0"/>
        </w:rPr>
      </w:pPr>
      <w:r>
        <w:rPr>
          <w:rFonts w:hint="eastAsia" w:ascii="宋体" w:hAnsi="宋体" w:cs="宋体"/>
          <w:kern w:val="0"/>
        </w:rPr>
        <w:t>个人投资者风险承受能力评估流程（详询销售机构工作人员）</w:t>
      </w:r>
    </w:p>
    <w:p>
      <w:pPr>
        <w:numPr>
          <w:ilvl w:val="0"/>
          <w:numId w:val="6"/>
        </w:numPr>
        <w:spacing w:line="360" w:lineRule="auto"/>
        <w:ind w:firstLine="480" w:firstLineChars="200"/>
        <w:rPr>
          <w:rFonts w:hint="eastAsia" w:ascii="宋体" w:hAnsi="宋体" w:cs="宋体"/>
          <w:kern w:val="0"/>
        </w:rPr>
      </w:pPr>
      <w:r>
        <w:rPr>
          <w:rFonts w:hint="eastAsia" w:ascii="宋体" w:hAnsi="宋体" w:cs="宋体"/>
          <w:kern w:val="0"/>
        </w:rPr>
        <w:t>个人投资者在销售机构进行风险承受能力评估；</w:t>
      </w:r>
    </w:p>
    <w:p>
      <w:pPr>
        <w:numPr>
          <w:ilvl w:val="0"/>
          <w:numId w:val="6"/>
        </w:numPr>
        <w:spacing w:line="360" w:lineRule="auto"/>
        <w:ind w:firstLine="480" w:firstLineChars="200"/>
        <w:rPr>
          <w:rFonts w:hint="eastAsia" w:ascii="宋体" w:hAnsi="宋体" w:cs="宋体"/>
          <w:kern w:val="0"/>
        </w:rPr>
      </w:pPr>
      <w:r>
        <w:rPr>
          <w:rFonts w:hint="eastAsia" w:ascii="宋体" w:hAnsi="宋体" w:cs="宋体"/>
          <w:kern w:val="0"/>
        </w:rPr>
        <w:t>填写销售机构个人投资者风险承受能力测试问卷；</w:t>
      </w:r>
    </w:p>
    <w:p>
      <w:pPr>
        <w:numPr>
          <w:ilvl w:val="0"/>
          <w:numId w:val="6"/>
        </w:numPr>
        <w:spacing w:line="360" w:lineRule="auto"/>
        <w:ind w:firstLine="480" w:firstLineChars="200"/>
        <w:rPr>
          <w:rFonts w:hint="eastAsia" w:ascii="宋体" w:hAnsi="宋体" w:cs="宋体"/>
          <w:kern w:val="0"/>
        </w:rPr>
      </w:pPr>
      <w:r>
        <w:rPr>
          <w:rFonts w:hint="eastAsia" w:ascii="宋体" w:hAnsi="宋体" w:cs="宋体"/>
          <w:kern w:val="0"/>
        </w:rPr>
        <w:t>生成相应的个人投资者风险承受能力评估结果；</w:t>
      </w:r>
    </w:p>
    <w:p>
      <w:pPr>
        <w:numPr>
          <w:ilvl w:val="0"/>
          <w:numId w:val="6"/>
        </w:numPr>
        <w:spacing w:line="360" w:lineRule="auto"/>
        <w:ind w:firstLine="480" w:firstLineChars="200"/>
        <w:rPr>
          <w:rFonts w:hint="eastAsia" w:ascii="宋体" w:hAnsi="宋体" w:cs="宋体"/>
          <w:kern w:val="0"/>
        </w:rPr>
      </w:pPr>
      <w:r>
        <w:rPr>
          <w:rFonts w:hint="eastAsia" w:ascii="宋体" w:hAnsi="宋体" w:cs="宋体"/>
          <w:kern w:val="0"/>
        </w:rPr>
        <w:t>投资者对评估结果进行确认。</w:t>
      </w:r>
    </w:p>
    <w:p>
      <w:pPr>
        <w:numPr>
          <w:ilvl w:val="0"/>
          <w:numId w:val="7"/>
        </w:numPr>
        <w:spacing w:line="360" w:lineRule="auto"/>
        <w:ind w:firstLine="480" w:firstLineChars="200"/>
        <w:outlineLvl w:val="2"/>
        <w:rPr>
          <w:rFonts w:hint="eastAsia" w:ascii="宋体" w:hAnsi="宋体" w:cs="宋体"/>
          <w:kern w:val="0"/>
        </w:rPr>
      </w:pPr>
      <w:r>
        <w:rPr>
          <w:rFonts w:hint="eastAsia" w:ascii="宋体" w:hAnsi="宋体" w:cs="宋体"/>
          <w:kern w:val="0"/>
        </w:rPr>
        <w:t>风险承受能力评估结果将作为评价个人投资者是否适合购买理财计划的重要因素，风险承受能力评级越高适合购买的理财计划风险评级越高，适合购买的理财计划类型越丰富。</w:t>
      </w:r>
    </w:p>
    <w:p>
      <w:pPr>
        <w:numPr>
          <w:ilvl w:val="0"/>
          <w:numId w:val="7"/>
        </w:numPr>
        <w:spacing w:line="360" w:lineRule="auto"/>
        <w:ind w:firstLine="480" w:firstLineChars="200"/>
        <w:outlineLvl w:val="2"/>
        <w:rPr>
          <w:rFonts w:hint="eastAsia" w:ascii="宋体" w:hAnsi="宋体" w:cs="宋体"/>
          <w:kern w:val="0"/>
        </w:rPr>
      </w:pPr>
      <w:r>
        <w:rPr>
          <w:rFonts w:hint="eastAsia" w:ascii="宋体" w:hAnsi="宋体" w:cs="宋体"/>
          <w:kern w:val="0"/>
        </w:rPr>
        <w:t>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numPr>
          <w:ilvl w:val="0"/>
          <w:numId w:val="7"/>
        </w:numPr>
        <w:spacing w:line="360" w:lineRule="auto"/>
        <w:ind w:firstLine="480" w:firstLineChars="200"/>
        <w:outlineLvl w:val="2"/>
        <w:rPr>
          <w:rFonts w:hint="eastAsia" w:ascii="宋体" w:hAnsi="宋体" w:cs="宋体"/>
          <w:kern w:val="0"/>
        </w:rPr>
      </w:pPr>
      <w:r>
        <w:rPr>
          <w:rFonts w:hint="eastAsia" w:ascii="宋体" w:hAnsi="宋体" w:cs="宋体"/>
          <w:kern w:val="0"/>
        </w:rPr>
        <w:t>机构投资者购买理财计划前无须进行风险评估能力测试。机构投资者不适用个人投资者的风险承受能力评估，请机构投资者根据自身财务状况、投资风格、资金需求等要素，并在阅读本权益须知、理财计划风险揭示书、理财计划产品说明书、理财计划投资协议书和理财计划销售协议书的基础上，充分认识投资本理财计划需要承担的风险。</w:t>
      </w:r>
    </w:p>
    <w:p>
      <w:pPr>
        <w:spacing w:line="360" w:lineRule="auto"/>
        <w:ind w:firstLine="482" w:firstLineChars="200"/>
        <w:outlineLvl w:val="1"/>
        <w:rPr>
          <w:rFonts w:hint="eastAsia" w:ascii="宋体" w:hAnsi="宋体" w:cs="宋体"/>
          <w:b/>
          <w:kern w:val="0"/>
        </w:rPr>
      </w:pPr>
      <w:r>
        <w:rPr>
          <w:rFonts w:hint="eastAsia" w:ascii="宋体" w:hAnsi="宋体" w:cs="宋体"/>
          <w:b/>
          <w:kern w:val="0"/>
        </w:rPr>
        <w:t>四、理财计划信息披露</w:t>
      </w:r>
    </w:p>
    <w:p>
      <w:pPr>
        <w:spacing w:line="360" w:lineRule="auto"/>
        <w:ind w:firstLine="480" w:firstLineChars="200"/>
        <w:rPr>
          <w:rFonts w:hint="eastAsia" w:ascii="宋体" w:hAnsi="宋体" w:cs="宋体"/>
          <w:kern w:val="0"/>
        </w:rPr>
      </w:pPr>
      <w:r>
        <w:rPr>
          <w:rFonts w:hint="eastAsia" w:ascii="宋体" w:hAnsi="宋体" w:cs="宋体"/>
          <w:kern w:val="0"/>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82" w:firstLineChars="200"/>
        <w:outlineLvl w:val="1"/>
        <w:rPr>
          <w:rFonts w:hint="eastAsia" w:ascii="宋体" w:hAnsi="宋体" w:cs="宋体"/>
          <w:b/>
          <w:kern w:val="0"/>
        </w:rPr>
      </w:pPr>
      <w:r>
        <w:rPr>
          <w:rFonts w:hint="eastAsia" w:ascii="宋体" w:hAnsi="宋体" w:cs="宋体"/>
          <w:b/>
          <w:kern w:val="0"/>
        </w:rPr>
        <w:t>五、投资者信息管理</w:t>
      </w:r>
    </w:p>
    <w:p>
      <w:pPr>
        <w:spacing w:line="360" w:lineRule="auto"/>
        <w:ind w:firstLine="480" w:firstLineChars="200"/>
        <w:rPr>
          <w:rFonts w:hint="eastAsia" w:ascii="宋体" w:hAnsi="宋体" w:cs="宋体"/>
          <w:kern w:val="0"/>
        </w:rPr>
      </w:pPr>
      <w:r>
        <w:rPr>
          <w:rFonts w:hint="eastAsia" w:ascii="宋体" w:hAnsi="宋体" w:cs="宋体"/>
          <w:kern w:val="0"/>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80" w:firstLineChars="200"/>
        <w:rPr>
          <w:rFonts w:hint="eastAsia" w:ascii="宋体" w:hAnsi="宋体" w:cs="宋体"/>
          <w:kern w:val="0"/>
        </w:rPr>
      </w:pPr>
      <w:r>
        <w:rPr>
          <w:rFonts w:hint="eastAsia" w:ascii="宋体" w:hAnsi="宋体" w:cs="宋体"/>
          <w:kern w:val="0"/>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82" w:firstLineChars="200"/>
        <w:outlineLvl w:val="1"/>
        <w:rPr>
          <w:rFonts w:hint="eastAsia" w:ascii="宋体" w:hAnsi="宋体" w:cs="宋体"/>
          <w:b/>
          <w:kern w:val="0"/>
        </w:rPr>
      </w:pPr>
      <w:r>
        <w:rPr>
          <w:rFonts w:hint="eastAsia" w:ascii="宋体" w:hAnsi="宋体" w:cs="宋体"/>
          <w:b/>
          <w:kern w:val="0"/>
        </w:rPr>
        <w:t>六、投诉与建议</w:t>
      </w:r>
    </w:p>
    <w:p>
      <w:pPr>
        <w:numPr>
          <w:ilvl w:val="0"/>
          <w:numId w:val="8"/>
        </w:numPr>
        <w:spacing w:line="360" w:lineRule="auto"/>
        <w:ind w:firstLine="480" w:firstLineChars="200"/>
        <w:outlineLvl w:val="2"/>
        <w:rPr>
          <w:rFonts w:hint="eastAsia" w:ascii="宋体" w:hAnsi="宋体" w:cs="宋体"/>
          <w:kern w:val="0"/>
        </w:rPr>
      </w:pPr>
      <w:r>
        <w:rPr>
          <w:rFonts w:hint="eastAsia" w:ascii="宋体" w:hAnsi="宋体" w:cs="宋体"/>
          <w:kern w:val="0"/>
        </w:rPr>
        <w:t>投资者如认为销售机构推介、销售理财计划时有不实或未尽风险告知职责或其它疑义事项，或对理财计划、销售机构及理财计划管理人服务有任何意见或建议，可通过拨打销售机构热线或客服电话进行反馈。销售机构将由专人接听、记录您的意见建议，并由双方协商共同解决。</w:t>
      </w:r>
    </w:p>
    <w:p>
      <w:pPr>
        <w:numPr>
          <w:ilvl w:val="0"/>
          <w:numId w:val="8"/>
        </w:numPr>
        <w:spacing w:line="360" w:lineRule="auto"/>
        <w:ind w:firstLine="480" w:firstLineChars="200"/>
        <w:outlineLvl w:val="2"/>
        <w:rPr>
          <w:rFonts w:hint="eastAsia" w:ascii="宋体" w:hAnsi="宋体" w:cs="宋体"/>
          <w:kern w:val="0"/>
        </w:rPr>
      </w:pPr>
      <w:r>
        <w:rPr>
          <w:rFonts w:hint="eastAsia" w:ascii="宋体" w:hAnsi="宋体" w:cs="宋体"/>
          <w:kern w:val="0"/>
        </w:rPr>
        <w:t>联络方式</w:t>
      </w:r>
    </w:p>
    <w:p>
      <w:pPr>
        <w:numPr>
          <w:ilvl w:val="0"/>
          <w:numId w:val="9"/>
        </w:numPr>
        <w:spacing w:line="360" w:lineRule="auto"/>
        <w:ind w:firstLine="480" w:firstLineChars="200"/>
        <w:rPr>
          <w:rFonts w:hint="eastAsia" w:ascii="宋体" w:hAnsi="宋体" w:cs="宋体"/>
          <w:kern w:val="0"/>
        </w:rPr>
      </w:pPr>
      <w:r>
        <w:rPr>
          <w:rFonts w:hint="eastAsia" w:ascii="宋体" w:hAnsi="宋体" w:cs="宋体"/>
          <w:kern w:val="0"/>
        </w:rPr>
        <w:t>杭银理财联络方式：</w:t>
      </w:r>
    </w:p>
    <w:p>
      <w:pPr>
        <w:spacing w:line="360" w:lineRule="auto"/>
        <w:ind w:firstLine="480" w:firstLineChars="200"/>
        <w:rPr>
          <w:rFonts w:hint="eastAsia" w:ascii="宋体" w:hAnsi="宋体" w:cs="宋体"/>
          <w:kern w:val="0"/>
          <w:u w:val="single"/>
        </w:rPr>
      </w:pPr>
      <w:r>
        <w:rPr>
          <w:rFonts w:hint="eastAsia" w:ascii="宋体" w:hAnsi="宋体" w:cs="宋体"/>
          <w:kern w:val="0"/>
        </w:rPr>
        <w:t>官方网站：</w:t>
      </w:r>
      <w:r>
        <w:rPr>
          <w:rFonts w:hint="eastAsia" w:ascii="宋体" w:hAnsi="宋体" w:cs="宋体"/>
          <w:bCs/>
        </w:rPr>
        <w:t>https://</w:t>
      </w:r>
      <w:r>
        <w:rPr>
          <w:rStyle w:val="14"/>
          <w:rFonts w:hint="eastAsia" w:ascii="宋体" w:hAnsi="宋体" w:cs="宋体"/>
          <w:color w:val="auto"/>
          <w:kern w:val="0"/>
          <w:szCs w:val="22"/>
          <w:u w:val="none"/>
        </w:rPr>
        <w:t>www.hzbankwealth.com.cn</w:t>
      </w:r>
    </w:p>
    <w:p>
      <w:pPr>
        <w:spacing w:line="360" w:lineRule="auto"/>
        <w:ind w:firstLine="480" w:firstLineChars="200"/>
        <w:rPr>
          <w:rFonts w:ascii="宋体" w:hAnsi="宋体" w:cs="宋体"/>
          <w:kern w:val="0"/>
        </w:rPr>
      </w:pPr>
      <w:r>
        <w:rPr>
          <w:rFonts w:hint="eastAsia" w:ascii="宋体" w:hAnsi="宋体" w:cs="宋体"/>
          <w:kern w:val="0"/>
        </w:rPr>
        <w:t>客户服务热线：400-8950-999</w:t>
      </w:r>
    </w:p>
    <w:p>
      <w:pPr>
        <w:spacing w:line="360" w:lineRule="auto"/>
        <w:ind w:firstLine="480" w:firstLineChars="200"/>
        <w:rPr>
          <w:rFonts w:hint="eastAsia" w:ascii="宋体" w:hAnsi="宋体" w:cs="宋体"/>
          <w:kern w:val="0"/>
        </w:rPr>
      </w:pPr>
      <w:r>
        <w:rPr>
          <w:rFonts w:hint="eastAsia" w:ascii="宋体" w:hAnsi="宋体" w:cs="宋体"/>
          <w:kern w:val="0"/>
        </w:rPr>
        <w:t>公司地址：杭州市拱墅区庆春路38号金龙财富中心6楼</w:t>
      </w:r>
    </w:p>
    <w:p>
      <w:pPr>
        <w:spacing w:line="360" w:lineRule="auto"/>
        <w:ind w:firstLine="480" w:firstLineChars="200"/>
        <w:rPr>
          <w:rFonts w:hint="eastAsia" w:ascii="宋体" w:hAnsi="宋体" w:cs="宋体"/>
          <w:kern w:val="0"/>
        </w:rPr>
      </w:pPr>
      <w:r>
        <w:rPr>
          <w:rFonts w:hint="eastAsia" w:ascii="宋体" w:hAnsi="宋体" w:cs="宋体"/>
          <w:kern w:val="0"/>
        </w:rPr>
        <w:t>若上述联系方式变更，杭银理财将提前通过官方网站及时告知投资者。</w:t>
      </w:r>
    </w:p>
    <w:p>
      <w:pPr>
        <w:numPr>
          <w:ilvl w:val="0"/>
          <w:numId w:val="9"/>
        </w:numPr>
        <w:spacing w:line="360" w:lineRule="auto"/>
        <w:ind w:firstLine="480" w:firstLineChars="200"/>
        <w:rPr>
          <w:rFonts w:hint="eastAsia" w:ascii="宋体" w:hAnsi="宋体" w:cs="宋体"/>
          <w:kern w:val="0"/>
        </w:rPr>
      </w:pPr>
      <w:r>
        <w:rPr>
          <w:rFonts w:hint="eastAsia" w:ascii="宋体" w:hAnsi="宋体" w:cs="宋体"/>
          <w:kern w:val="0"/>
        </w:rPr>
        <w:t>杭州银行（作为销售机构）联络方式：</w:t>
      </w:r>
    </w:p>
    <w:p>
      <w:pPr>
        <w:spacing w:line="360" w:lineRule="auto"/>
        <w:ind w:firstLine="480" w:firstLineChars="200"/>
        <w:rPr>
          <w:rFonts w:hint="eastAsia" w:ascii="宋体" w:hAnsi="宋体" w:cs="宋体"/>
          <w:kern w:val="0"/>
          <w:u w:val="single"/>
        </w:rPr>
      </w:pPr>
      <w:r>
        <w:rPr>
          <w:rFonts w:hint="eastAsia" w:ascii="宋体" w:hAnsi="宋体" w:cs="宋体"/>
          <w:kern w:val="0"/>
        </w:rPr>
        <w:t xml:space="preserve">官方网站: </w:t>
      </w:r>
      <w:r>
        <w:rPr>
          <w:rFonts w:hint="eastAsia" w:ascii="宋体" w:hAnsi="宋体" w:cs="宋体"/>
          <w:kern w:val="0"/>
        </w:rPr>
        <w:fldChar w:fldCharType="begin"/>
      </w:r>
      <w:r>
        <w:rPr>
          <w:rFonts w:hint="eastAsia" w:ascii="宋体" w:hAnsi="宋体" w:cs="宋体"/>
          <w:kern w:val="0"/>
        </w:rPr>
        <w:instrText xml:space="preserve"> HYPERLINK "http://www.hzbankwealth.cn" </w:instrText>
      </w:r>
      <w:r>
        <w:rPr>
          <w:rFonts w:hint="eastAsia" w:ascii="宋体" w:hAnsi="宋体" w:cs="宋体"/>
          <w:kern w:val="0"/>
        </w:rPr>
        <w:fldChar w:fldCharType="separate"/>
      </w:r>
      <w:r>
        <w:rPr>
          <w:rStyle w:val="14"/>
          <w:rFonts w:hint="eastAsia" w:ascii="宋体" w:hAnsi="宋体" w:cs="宋体"/>
          <w:color w:val="auto"/>
          <w:kern w:val="0"/>
          <w:u w:val="none"/>
        </w:rPr>
        <w:t>www.hzbank.com.cn</w:t>
      </w:r>
      <w:r>
        <w:rPr>
          <w:rFonts w:hint="eastAsia" w:ascii="宋体" w:hAnsi="宋体" w:cs="宋体"/>
          <w:kern w:val="0"/>
        </w:rPr>
        <w:fldChar w:fldCharType="end"/>
      </w:r>
    </w:p>
    <w:p>
      <w:pPr>
        <w:spacing w:line="360" w:lineRule="auto"/>
        <w:ind w:firstLine="480" w:firstLineChars="200"/>
        <w:rPr>
          <w:rFonts w:ascii="宋体" w:hAnsi="宋体" w:cs="宋体"/>
          <w:kern w:val="0"/>
        </w:rPr>
      </w:pPr>
      <w:r>
        <w:rPr>
          <w:rFonts w:hint="eastAsia" w:ascii="宋体" w:hAnsi="宋体" w:cs="宋体"/>
          <w:kern w:val="0"/>
        </w:rPr>
        <w:t>客户服务热线：95398、4008888508</w:t>
      </w:r>
    </w:p>
    <w:p>
      <w:pPr>
        <w:spacing w:line="360" w:lineRule="auto"/>
        <w:ind w:firstLine="480" w:firstLineChars="200"/>
        <w:jc w:val="left"/>
        <w:rPr>
          <w:rFonts w:hint="eastAsia" w:ascii="宋体" w:hAnsi="宋体" w:cs="宋体"/>
          <w:kern w:val="0"/>
        </w:rPr>
      </w:pPr>
      <w:r>
        <w:rPr>
          <w:rFonts w:hint="eastAsia" w:ascii="宋体" w:hAnsi="宋体" w:cs="宋体"/>
          <w:kern w:val="0"/>
        </w:rPr>
        <w:t>在其他销售机构购买理财计划的，请联系其他销售机构，联系方式以其披露为准。</w:t>
      </w:r>
    </w:p>
    <w:p>
      <w:pPr>
        <w:spacing w:line="360" w:lineRule="auto"/>
        <w:jc w:val="center"/>
        <w:outlineLvl w:val="0"/>
        <w:rPr>
          <w:rFonts w:hint="eastAsia"/>
          <w:b/>
          <w:sz w:val="44"/>
          <w:szCs w:val="44"/>
        </w:rPr>
      </w:pPr>
      <w:r>
        <w:rPr>
          <w:rFonts w:hint="eastAsia"/>
          <w:b/>
          <w:sz w:val="44"/>
          <w:szCs w:val="44"/>
        </w:rPr>
        <w:br w:type="page"/>
      </w:r>
      <w:bookmarkStart w:id="0" w:name="_GoBack"/>
      <w:bookmarkEnd w:id="0"/>
      <w:r>
        <w:rPr>
          <w:rFonts w:hint="eastAsia"/>
          <w:b/>
          <w:sz w:val="44"/>
          <w:szCs w:val="44"/>
        </w:rPr>
        <w:t>杭银理财理财计划投资协议书</w:t>
      </w:r>
    </w:p>
    <w:p>
      <w:pPr>
        <w:jc w:val="center"/>
        <w:rPr>
          <w:rFonts w:hint="eastAsia"/>
          <w:b/>
          <w:sz w:val="44"/>
          <w:szCs w:val="44"/>
        </w:rPr>
      </w:pPr>
      <w:r>
        <w:rPr>
          <w:rFonts w:hint="eastAsia" w:ascii="宋体" w:hAnsi="宋体" w:cs="宋体"/>
          <w:sz w:val="28"/>
          <w:szCs w:val="28"/>
        </w:rPr>
        <w:t>（202201版）</w:t>
      </w:r>
    </w:p>
    <w:p>
      <w:pPr>
        <w:spacing w:line="360" w:lineRule="auto"/>
        <w:jc w:val="center"/>
        <w:rPr>
          <w:rFonts w:hint="eastAsia"/>
          <w:b/>
          <w:sz w:val="32"/>
          <w:szCs w:val="32"/>
        </w:rPr>
      </w:pPr>
      <w:r>
        <w:rPr>
          <w:rFonts w:hint="eastAsia" w:ascii="宋体" w:hAnsi="宋体" w:cs="宋体"/>
          <w:b/>
          <w:bCs/>
          <w:u w:val="single"/>
        </w:rPr>
        <w:t>理财非存款、产品有风险、投资须谨慎</w:t>
      </w:r>
    </w:p>
    <w:p>
      <w:pPr>
        <w:spacing w:line="360" w:lineRule="auto"/>
        <w:ind w:firstLine="482" w:firstLineChars="200"/>
        <w:rPr>
          <w:rFonts w:hint="eastAsia"/>
          <w:b/>
          <w:bCs/>
        </w:rPr>
      </w:pPr>
      <w:r>
        <w:rPr>
          <w:rFonts w:hint="eastAsia"/>
          <w:b/>
          <w:bCs/>
        </w:rPr>
        <w:t>特别提示：杭银理财理财计划投资协议书与理财计划风险揭示书、理财计划产品说明书、投资者权益须知及理财计划销售协议书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80" w:firstLineChars="200"/>
        <w:rPr>
          <w:rFonts w:hint="eastAsia"/>
        </w:rPr>
      </w:pPr>
      <w:r>
        <w:rPr>
          <w:rFonts w:hint="eastAsia"/>
        </w:rPr>
        <w:t>投资者与管理人（即杭银理财有限责任公司）经平等友好协商，本着自愿、诚实信用原则，就投资者购买管理人发行的理财计划有关事宜达成如下协议（以下简称“本协议”）：</w:t>
      </w:r>
    </w:p>
    <w:p>
      <w:pPr>
        <w:spacing w:line="360" w:lineRule="auto"/>
        <w:ind w:firstLine="480" w:firstLineChars="200"/>
        <w:rPr>
          <w:rFonts w:hint="eastAsia"/>
        </w:rPr>
      </w:pPr>
    </w:p>
    <w:p>
      <w:pPr>
        <w:numPr>
          <w:ilvl w:val="0"/>
          <w:numId w:val="10"/>
        </w:numPr>
        <w:spacing w:line="360" w:lineRule="auto"/>
        <w:ind w:firstLine="482" w:firstLineChars="200"/>
        <w:outlineLvl w:val="1"/>
        <w:rPr>
          <w:rFonts w:hint="eastAsia" w:ascii="宋体" w:hAnsi="宋体"/>
          <w:b/>
          <w:bCs/>
        </w:rPr>
      </w:pPr>
      <w:r>
        <w:rPr>
          <w:rFonts w:hint="eastAsia"/>
          <w:b/>
          <w:bCs/>
        </w:rPr>
        <w:t>名词释义</w:t>
      </w:r>
    </w:p>
    <w:p>
      <w:pPr>
        <w:spacing w:line="360" w:lineRule="auto"/>
        <w:ind w:firstLine="480" w:firstLineChars="200"/>
        <w:rPr>
          <w:rFonts w:hint="eastAsia"/>
          <w:bCs/>
        </w:rPr>
      </w:pPr>
      <w:r>
        <w:rPr>
          <w:rFonts w:hint="eastAsia"/>
          <w:bCs/>
        </w:rPr>
        <w:t>详见理财计划说明书“释义”部分。</w:t>
      </w:r>
    </w:p>
    <w:p>
      <w:pPr>
        <w:spacing w:line="360" w:lineRule="auto"/>
        <w:ind w:firstLine="480" w:firstLineChars="200"/>
        <w:rPr>
          <w:rFonts w:hint="eastAsia"/>
          <w:bCs/>
        </w:rPr>
      </w:pPr>
    </w:p>
    <w:p>
      <w:pPr>
        <w:numPr>
          <w:ilvl w:val="0"/>
          <w:numId w:val="10"/>
        </w:numPr>
        <w:spacing w:line="360" w:lineRule="auto"/>
        <w:ind w:firstLine="482" w:firstLineChars="200"/>
        <w:outlineLvl w:val="1"/>
        <w:rPr>
          <w:rFonts w:hint="eastAsia"/>
          <w:b/>
        </w:rPr>
      </w:pPr>
      <w:r>
        <w:rPr>
          <w:rFonts w:hint="eastAsia"/>
          <w:b/>
        </w:rPr>
        <w:t>投资者权利与义务</w:t>
      </w:r>
    </w:p>
    <w:p>
      <w:pPr>
        <w:widowControl/>
        <w:numPr>
          <w:ilvl w:val="0"/>
          <w:numId w:val="11"/>
        </w:numPr>
        <w:spacing w:line="360" w:lineRule="auto"/>
        <w:ind w:firstLine="480" w:firstLineChars="200"/>
        <w:contextualSpacing/>
        <w:outlineLvl w:val="2"/>
        <w:rPr>
          <w:rFonts w:ascii="宋体" w:hAnsi="宋体"/>
        </w:rPr>
      </w:pPr>
      <w:r>
        <w:rPr>
          <w:rFonts w:hint="eastAsia" w:ascii="宋体" w:hAnsi="宋体"/>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宋体"/>
          <w:color w:val="000000"/>
          <w:kern w:val="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11"/>
        </w:numPr>
        <w:spacing w:line="360" w:lineRule="auto"/>
        <w:ind w:firstLine="480" w:firstLineChars="200"/>
        <w:contextualSpacing/>
        <w:outlineLvl w:val="2"/>
        <w:rPr>
          <w:rFonts w:ascii="宋体" w:hAnsi="宋体"/>
        </w:rPr>
      </w:pPr>
      <w:r>
        <w:rPr>
          <w:rFonts w:hint="eastAsia" w:ascii="宋体" w:hAnsi="宋体"/>
        </w:rPr>
        <w:t>投资者保证自身完全了解理财投资的性质，投资所涉及的风险以及自身风险承受能力，在慎重考虑后独立作出交易决定。</w:t>
      </w:r>
    </w:p>
    <w:p>
      <w:pPr>
        <w:widowControl/>
        <w:numPr>
          <w:ilvl w:val="0"/>
          <w:numId w:val="11"/>
        </w:numPr>
        <w:spacing w:line="360" w:lineRule="auto"/>
        <w:ind w:firstLine="480" w:firstLineChars="200"/>
        <w:contextualSpacing/>
        <w:outlineLvl w:val="2"/>
        <w:rPr>
          <w:rFonts w:ascii="宋体" w:hAnsi="宋体"/>
        </w:rPr>
      </w:pPr>
      <w:r>
        <w:rPr>
          <w:rFonts w:hint="eastAsia" w:ascii="宋体" w:hAnsi="宋体"/>
        </w:rPr>
        <w:t>投资者保证其有权利签署本协议和履行本协议所述的义务，并已为此采取一切所需的行为。</w:t>
      </w:r>
    </w:p>
    <w:p>
      <w:pPr>
        <w:widowControl/>
        <w:numPr>
          <w:ilvl w:val="0"/>
          <w:numId w:val="11"/>
        </w:numPr>
        <w:spacing w:line="360" w:lineRule="auto"/>
        <w:ind w:firstLine="480" w:firstLineChars="200"/>
        <w:contextualSpacing/>
        <w:outlineLvl w:val="2"/>
        <w:rPr>
          <w:rFonts w:ascii="宋体" w:hAnsi="宋体"/>
        </w:rPr>
      </w:pPr>
      <w:r>
        <w:rPr>
          <w:rFonts w:hint="eastAsia" w:ascii="宋体" w:hAnsi="宋体"/>
        </w:rPr>
        <w:t>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numPr>
          <w:ilvl w:val="0"/>
          <w:numId w:val="11"/>
        </w:numPr>
        <w:spacing w:line="360" w:lineRule="auto"/>
        <w:ind w:firstLine="480" w:firstLineChars="200"/>
        <w:contextualSpacing/>
        <w:outlineLvl w:val="2"/>
        <w:rPr>
          <w:rFonts w:ascii="宋体" w:hAnsi="宋体"/>
        </w:rPr>
      </w:pPr>
      <w:r>
        <w:rPr>
          <w:rFonts w:hint="eastAsia" w:ascii="宋体" w:hAnsi="宋体"/>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numPr>
          <w:ilvl w:val="0"/>
          <w:numId w:val="11"/>
        </w:numPr>
        <w:spacing w:line="360" w:lineRule="auto"/>
        <w:ind w:firstLine="480" w:firstLineChars="200"/>
        <w:contextualSpacing/>
        <w:outlineLvl w:val="2"/>
        <w:rPr>
          <w:rFonts w:ascii="宋体" w:hAnsi="宋体"/>
        </w:rPr>
      </w:pPr>
      <w:r>
        <w:rPr>
          <w:rFonts w:hint="eastAsia" w:ascii="宋体" w:hAnsi="宋体"/>
        </w:rPr>
        <w:t xml:space="preserve">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numPr>
          <w:ilvl w:val="0"/>
          <w:numId w:val="11"/>
        </w:numPr>
        <w:spacing w:line="360" w:lineRule="auto"/>
        <w:ind w:firstLine="480" w:firstLineChars="200"/>
        <w:contextualSpacing/>
        <w:outlineLvl w:val="2"/>
        <w:rPr>
          <w:rFonts w:ascii="宋体" w:hAnsi="宋体"/>
        </w:rPr>
      </w:pPr>
      <w:r>
        <w:rPr>
          <w:rFonts w:hint="eastAsia" w:ascii="宋体" w:hAnsi="宋体"/>
        </w:rPr>
        <w:t>本协议终止前，投资者不得将授权指定账户销户。若发生因投资者注销授权指定账户造成理财计划无法正常兑付的，管理人不承担任何责任。</w:t>
      </w:r>
    </w:p>
    <w:p>
      <w:pPr>
        <w:widowControl/>
        <w:numPr>
          <w:ilvl w:val="0"/>
          <w:numId w:val="11"/>
        </w:numPr>
        <w:spacing w:line="360" w:lineRule="auto"/>
        <w:ind w:firstLine="480" w:firstLineChars="200"/>
        <w:contextualSpacing/>
        <w:outlineLvl w:val="2"/>
        <w:rPr>
          <w:rFonts w:ascii="宋体" w:hAnsi="宋体"/>
        </w:rPr>
      </w:pPr>
      <w:r>
        <w:rPr>
          <w:rFonts w:hint="eastAsia" w:ascii="宋体" w:hAnsi="宋体"/>
        </w:rPr>
        <w:t xml:space="preserve">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numPr>
          <w:ilvl w:val="0"/>
          <w:numId w:val="11"/>
        </w:numPr>
        <w:spacing w:line="360" w:lineRule="auto"/>
        <w:ind w:firstLine="480" w:firstLineChars="200"/>
        <w:contextualSpacing/>
        <w:outlineLvl w:val="2"/>
        <w:rPr>
          <w:rFonts w:ascii="宋体" w:hAnsi="宋体"/>
        </w:rPr>
      </w:pPr>
      <w:r>
        <w:rPr>
          <w:rFonts w:hint="eastAsia" w:ascii="宋体" w:hAnsi="宋体"/>
        </w:rPr>
        <w:t xml:space="preserve">投资者进行投资时，应严格遵守反洗钱相关法规的规定，切实履行反洗钱及反恐怖融资义务。 </w:t>
      </w:r>
    </w:p>
    <w:p>
      <w:pPr>
        <w:spacing w:line="360" w:lineRule="auto"/>
        <w:ind w:left="482"/>
        <w:rPr>
          <w:b/>
        </w:rPr>
      </w:pPr>
    </w:p>
    <w:p>
      <w:pPr>
        <w:numPr>
          <w:ilvl w:val="0"/>
          <w:numId w:val="10"/>
        </w:numPr>
        <w:spacing w:line="360" w:lineRule="auto"/>
        <w:ind w:firstLine="482" w:firstLineChars="200"/>
        <w:outlineLvl w:val="1"/>
        <w:rPr>
          <w:rFonts w:hint="eastAsia"/>
          <w:b/>
        </w:rPr>
      </w:pPr>
      <w:r>
        <w:rPr>
          <w:rFonts w:hint="eastAsia"/>
          <w:b/>
        </w:rPr>
        <w:t>管理人权利与义务</w:t>
      </w:r>
    </w:p>
    <w:p>
      <w:pPr>
        <w:widowControl/>
        <w:numPr>
          <w:ilvl w:val="0"/>
          <w:numId w:val="12"/>
        </w:numPr>
        <w:spacing w:line="360" w:lineRule="auto"/>
        <w:ind w:firstLine="480" w:firstLineChars="200"/>
        <w:contextualSpacing/>
        <w:outlineLvl w:val="2"/>
        <w:rPr>
          <w:rFonts w:ascii="宋体" w:hAnsi="宋体"/>
        </w:rPr>
      </w:pPr>
      <w:r>
        <w:rPr>
          <w:rFonts w:hint="eastAsia" w:ascii="宋体" w:hAnsi="宋体"/>
        </w:rPr>
        <w:t xml:space="preserve">管理人应当诚实守信、勤勉尽责地履行受人之托、代人理财职责。 </w:t>
      </w:r>
    </w:p>
    <w:p>
      <w:pPr>
        <w:widowControl/>
        <w:numPr>
          <w:ilvl w:val="0"/>
          <w:numId w:val="12"/>
        </w:numPr>
        <w:spacing w:line="360" w:lineRule="auto"/>
        <w:ind w:firstLine="480" w:firstLineChars="200"/>
        <w:contextualSpacing/>
        <w:outlineLvl w:val="2"/>
        <w:rPr>
          <w:rFonts w:ascii="宋体" w:hAnsi="宋体"/>
        </w:rPr>
      </w:pPr>
      <w:r>
        <w:rPr>
          <w:rFonts w:hint="eastAsia" w:ascii="宋体" w:hAnsi="宋体"/>
        </w:rPr>
        <w:t xml:space="preserve">管理人应当按照理财计划销售文件的约定收取管理费用、确定收益分配方案、向投资者分配收益。 </w:t>
      </w:r>
    </w:p>
    <w:p>
      <w:pPr>
        <w:widowControl/>
        <w:numPr>
          <w:ilvl w:val="0"/>
          <w:numId w:val="12"/>
        </w:numPr>
        <w:spacing w:line="360" w:lineRule="auto"/>
        <w:ind w:firstLine="480" w:firstLineChars="200"/>
        <w:contextualSpacing/>
        <w:outlineLvl w:val="2"/>
        <w:rPr>
          <w:rFonts w:ascii="宋体" w:hAnsi="宋体"/>
        </w:rPr>
      </w:pPr>
      <w:r>
        <w:rPr>
          <w:rFonts w:hint="eastAsia" w:ascii="宋体" w:hAnsi="宋体"/>
        </w:rPr>
        <w:t xml:space="preserve">管理人应当按照理财计划销售文件的约定履行风险揭示及信息披露义务。 </w:t>
      </w:r>
    </w:p>
    <w:p>
      <w:pPr>
        <w:widowControl/>
        <w:numPr>
          <w:ilvl w:val="0"/>
          <w:numId w:val="12"/>
        </w:numPr>
        <w:spacing w:line="360" w:lineRule="auto"/>
        <w:ind w:firstLine="480" w:firstLineChars="200"/>
        <w:contextualSpacing/>
        <w:outlineLvl w:val="2"/>
        <w:rPr>
          <w:rFonts w:ascii="宋体" w:hAnsi="宋体"/>
        </w:rPr>
      </w:pPr>
      <w:r>
        <w:rPr>
          <w:rFonts w:hint="eastAsia" w:ascii="宋体" w:hAnsi="宋体"/>
        </w:rPr>
        <w:t xml:space="preserve">管理人应当确保理财业务与其他业务相分离，理财计划之间相分离，理财业务操作与其他业务操作相分离。 </w:t>
      </w:r>
    </w:p>
    <w:p>
      <w:pPr>
        <w:widowControl/>
        <w:numPr>
          <w:ilvl w:val="0"/>
          <w:numId w:val="12"/>
        </w:numPr>
        <w:spacing w:line="360" w:lineRule="auto"/>
        <w:ind w:firstLine="480" w:firstLineChars="200"/>
        <w:contextualSpacing/>
        <w:outlineLvl w:val="2"/>
        <w:rPr>
          <w:rFonts w:ascii="宋体" w:hAnsi="宋体"/>
        </w:rPr>
      </w:pPr>
      <w:r>
        <w:rPr>
          <w:rFonts w:ascii="宋体" w:hAnsi="宋体"/>
        </w:rPr>
        <w:t>管理人不得将理财</w:t>
      </w:r>
      <w:r>
        <w:rPr>
          <w:rFonts w:hint="eastAsia" w:ascii="宋体" w:hAnsi="宋体"/>
        </w:rPr>
        <w:t>计划</w:t>
      </w:r>
      <w:r>
        <w:rPr>
          <w:rFonts w:ascii="宋体" w:hAnsi="宋体"/>
        </w:rPr>
        <w:t>财产归入其自有资产</w:t>
      </w:r>
      <w:r>
        <w:rPr>
          <w:rFonts w:hint="eastAsia" w:ascii="宋体" w:hAnsi="宋体"/>
        </w:rPr>
        <w:t>，</w:t>
      </w:r>
      <w:r>
        <w:rPr>
          <w:rFonts w:ascii="宋体" w:hAnsi="宋体"/>
        </w:rPr>
        <w:t>因依法解散</w:t>
      </w:r>
      <w:r>
        <w:rPr>
          <w:rFonts w:hint="eastAsia" w:ascii="宋体" w:hAnsi="宋体"/>
        </w:rPr>
        <w:t>、</w:t>
      </w:r>
      <w:r>
        <w:rPr>
          <w:rFonts w:ascii="宋体" w:hAnsi="宋体"/>
        </w:rPr>
        <w:t>被依法撤销或者被依法宣告破产等原因进行清算的</w:t>
      </w:r>
      <w:r>
        <w:rPr>
          <w:rFonts w:hint="eastAsia" w:ascii="宋体" w:hAnsi="宋体"/>
        </w:rPr>
        <w:t>，</w:t>
      </w:r>
      <w:r>
        <w:rPr>
          <w:rFonts w:ascii="宋体" w:hAnsi="宋体"/>
        </w:rPr>
        <w:t>理财</w:t>
      </w:r>
      <w:r>
        <w:rPr>
          <w:rFonts w:hint="eastAsia" w:ascii="宋体" w:hAnsi="宋体"/>
        </w:rPr>
        <w:t>计划</w:t>
      </w:r>
      <w:r>
        <w:rPr>
          <w:rFonts w:ascii="宋体" w:hAnsi="宋体"/>
        </w:rPr>
        <w:t>财产不属于其清算财产</w:t>
      </w:r>
      <w:r>
        <w:rPr>
          <w:rFonts w:hint="eastAsia" w:ascii="宋体" w:hAnsi="宋体"/>
        </w:rPr>
        <w:t>。</w:t>
      </w:r>
    </w:p>
    <w:p>
      <w:pPr>
        <w:widowControl/>
        <w:numPr>
          <w:ilvl w:val="0"/>
          <w:numId w:val="12"/>
        </w:numPr>
        <w:spacing w:line="360" w:lineRule="auto"/>
        <w:ind w:firstLine="480" w:firstLineChars="200"/>
        <w:contextualSpacing/>
        <w:outlineLvl w:val="2"/>
        <w:rPr>
          <w:rFonts w:ascii="宋体" w:hAnsi="宋体"/>
        </w:rPr>
      </w:pPr>
      <w:r>
        <w:rPr>
          <w:rFonts w:hint="eastAsia" w:ascii="宋体" w:hAnsi="宋体"/>
        </w:rPr>
        <w:t xml:space="preserve">管理人应当选择具有证券投资基金托管业务资格的金融机构、银行业理财登记托管机构或者国务院银行业监督管理机构认可的其他机构托管理财计划。 </w:t>
      </w:r>
    </w:p>
    <w:p>
      <w:pPr>
        <w:widowControl/>
        <w:numPr>
          <w:ilvl w:val="0"/>
          <w:numId w:val="12"/>
        </w:numPr>
        <w:spacing w:line="360" w:lineRule="auto"/>
        <w:ind w:firstLine="480" w:firstLineChars="200"/>
        <w:contextualSpacing/>
        <w:outlineLvl w:val="2"/>
        <w:rPr>
          <w:rFonts w:ascii="宋体" w:hAnsi="宋体"/>
        </w:rPr>
      </w:pPr>
      <w:r>
        <w:rPr>
          <w:rFonts w:hint="eastAsia" w:ascii="宋体" w:hAnsi="宋体"/>
        </w:rPr>
        <w:t xml:space="preserve">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numPr>
          <w:ilvl w:val="0"/>
          <w:numId w:val="12"/>
        </w:numPr>
        <w:spacing w:line="360" w:lineRule="auto"/>
        <w:contextualSpacing/>
        <w:outlineLvl w:val="2"/>
        <w:rPr>
          <w:rFonts w:ascii="宋体" w:hAnsi="宋体"/>
        </w:rPr>
      </w:pPr>
      <w:r>
        <w:rPr>
          <w:rFonts w:hint="eastAsia" w:ascii="宋体" w:hAnsi="宋体"/>
        </w:rPr>
        <w:t xml:space="preserve">管理人应就理财计划销售过程中获知的投资者信息承担保密义务。非经投资者事先许可，不得向第三方披露，但法律法规或监管规定另有要求的除外。投资者在此同意并授权，管理人可根据监管要求，为理财计划登记等需要，向登记部门或监管机构提供投资者相关信息。 </w:t>
      </w:r>
    </w:p>
    <w:p>
      <w:pPr>
        <w:widowControl/>
        <w:numPr>
          <w:ilvl w:val="0"/>
          <w:numId w:val="12"/>
        </w:numPr>
        <w:spacing w:line="360" w:lineRule="auto"/>
        <w:ind w:firstLine="480" w:firstLineChars="200"/>
        <w:contextualSpacing/>
        <w:outlineLvl w:val="2"/>
        <w:rPr>
          <w:rFonts w:ascii="宋体" w:hAnsi="宋体"/>
        </w:rPr>
      </w:pPr>
      <w:r>
        <w:rPr>
          <w:rFonts w:hint="eastAsia" w:ascii="宋体" w:hAnsi="宋体"/>
        </w:rPr>
        <w:t xml:space="preserve">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b/>
        </w:rPr>
      </w:pPr>
    </w:p>
    <w:p>
      <w:pPr>
        <w:numPr>
          <w:ilvl w:val="0"/>
          <w:numId w:val="10"/>
        </w:numPr>
        <w:spacing w:line="360" w:lineRule="auto"/>
        <w:ind w:firstLine="482" w:firstLineChars="200"/>
        <w:outlineLvl w:val="1"/>
        <w:rPr>
          <w:rFonts w:hint="eastAsia"/>
          <w:b/>
        </w:rPr>
      </w:pPr>
      <w:r>
        <w:rPr>
          <w:rFonts w:hint="eastAsia"/>
          <w:b/>
        </w:rPr>
        <w:t>理财计划认（申）购、赎回及终止</w:t>
      </w:r>
    </w:p>
    <w:p>
      <w:pPr>
        <w:widowControl/>
        <w:numPr>
          <w:ilvl w:val="0"/>
          <w:numId w:val="13"/>
        </w:numPr>
        <w:spacing w:line="360" w:lineRule="auto"/>
        <w:ind w:firstLine="480" w:firstLineChars="200"/>
        <w:contextualSpacing/>
        <w:outlineLvl w:val="2"/>
        <w:rPr>
          <w:rFonts w:ascii="宋体" w:hAnsi="宋体"/>
        </w:rPr>
      </w:pPr>
      <w:r>
        <w:rPr>
          <w:rFonts w:hint="eastAsia" w:ascii="宋体" w:hAnsi="宋体"/>
        </w:rPr>
        <w:t xml:space="preserve">理财计划认/申购办理流程：参照《投资者权益须知》约定。 </w:t>
      </w:r>
    </w:p>
    <w:p>
      <w:pPr>
        <w:widowControl/>
        <w:numPr>
          <w:ilvl w:val="0"/>
          <w:numId w:val="13"/>
        </w:numPr>
        <w:spacing w:line="360" w:lineRule="auto"/>
        <w:ind w:firstLine="480" w:firstLineChars="200"/>
        <w:contextualSpacing/>
        <w:outlineLvl w:val="2"/>
        <w:rPr>
          <w:rFonts w:ascii="宋体" w:hAnsi="宋体"/>
        </w:rPr>
      </w:pPr>
      <w:r>
        <w:rPr>
          <w:rFonts w:hint="eastAsia" w:ascii="宋体" w:hAnsi="宋体"/>
        </w:rPr>
        <w:t>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numPr>
          <w:ilvl w:val="0"/>
          <w:numId w:val="13"/>
        </w:numPr>
        <w:spacing w:line="360" w:lineRule="auto"/>
        <w:ind w:firstLine="480" w:firstLineChars="200"/>
        <w:contextualSpacing/>
        <w:outlineLvl w:val="2"/>
        <w:rPr>
          <w:rFonts w:ascii="宋体" w:hAnsi="宋体"/>
        </w:rPr>
      </w:pPr>
      <w:r>
        <w:rPr>
          <w:rFonts w:hint="eastAsia" w:ascii="宋体" w:hAnsi="宋体"/>
        </w:rPr>
        <w:t xml:space="preserve">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numPr>
          <w:ilvl w:val="0"/>
          <w:numId w:val="13"/>
        </w:numPr>
        <w:spacing w:line="360" w:lineRule="auto"/>
        <w:ind w:firstLine="480" w:firstLineChars="200"/>
        <w:contextualSpacing/>
        <w:outlineLvl w:val="2"/>
        <w:rPr>
          <w:rFonts w:hint="eastAsia" w:ascii="宋体" w:hAnsi="宋体"/>
        </w:rPr>
      </w:pPr>
      <w:r>
        <w:rPr>
          <w:rFonts w:hint="eastAsia" w:ascii="宋体" w:hAnsi="宋体"/>
        </w:rPr>
        <w:t xml:space="preserve">理财计划投资品种、投资起点金额、收益支付方式：参照对应期次的《理财计划产品说明书》中的条款约定。 </w:t>
      </w:r>
    </w:p>
    <w:p>
      <w:pPr>
        <w:widowControl/>
        <w:numPr>
          <w:ilvl w:val="0"/>
          <w:numId w:val="13"/>
        </w:numPr>
        <w:spacing w:line="360" w:lineRule="auto"/>
        <w:ind w:firstLine="480" w:firstLineChars="200"/>
        <w:contextualSpacing/>
        <w:outlineLvl w:val="2"/>
        <w:rPr>
          <w:rFonts w:ascii="宋体" w:hAnsi="宋体"/>
        </w:rPr>
      </w:pPr>
      <w:r>
        <w:rPr>
          <w:rFonts w:hint="eastAsia" w:ascii="宋体" w:hAnsi="宋体"/>
        </w:rPr>
        <w:t>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numPr>
          <w:ilvl w:val="0"/>
          <w:numId w:val="13"/>
        </w:numPr>
        <w:spacing w:line="360" w:lineRule="auto"/>
        <w:ind w:firstLine="480" w:firstLineChars="200"/>
        <w:contextualSpacing/>
        <w:outlineLvl w:val="2"/>
        <w:rPr>
          <w:rFonts w:ascii="宋体" w:hAnsi="宋体"/>
        </w:rPr>
      </w:pPr>
      <w:r>
        <w:rPr>
          <w:rFonts w:hint="eastAsia" w:ascii="宋体" w:hAnsi="宋体"/>
        </w:rPr>
        <w:t>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b/>
        </w:rPr>
      </w:pPr>
    </w:p>
    <w:p>
      <w:pPr>
        <w:numPr>
          <w:ilvl w:val="0"/>
          <w:numId w:val="10"/>
        </w:numPr>
        <w:spacing w:line="360" w:lineRule="auto"/>
        <w:ind w:firstLine="482" w:firstLineChars="200"/>
        <w:outlineLvl w:val="1"/>
        <w:rPr>
          <w:rFonts w:hint="eastAsia"/>
          <w:b/>
        </w:rPr>
      </w:pPr>
      <w:r>
        <w:rPr>
          <w:rFonts w:hint="eastAsia"/>
          <w:b/>
        </w:rPr>
        <w:t>税收处理</w:t>
      </w:r>
    </w:p>
    <w:p>
      <w:pPr>
        <w:widowControl/>
        <w:spacing w:line="360" w:lineRule="auto"/>
        <w:ind w:firstLine="480" w:firstLineChars="200"/>
        <w:contextualSpacing/>
        <w:rPr>
          <w:rFonts w:hint="eastAsia" w:ascii="宋体" w:hAnsi="宋体"/>
        </w:rPr>
      </w:pPr>
      <w:r>
        <w:rPr>
          <w:rFonts w:hint="eastAsia" w:ascii="宋体" w:hAnsi="宋体"/>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80" w:firstLineChars="200"/>
        <w:contextualSpacing/>
        <w:rPr>
          <w:rFonts w:ascii="宋体" w:hAnsi="宋体"/>
        </w:rPr>
      </w:pPr>
    </w:p>
    <w:p>
      <w:pPr>
        <w:numPr>
          <w:ilvl w:val="0"/>
          <w:numId w:val="10"/>
        </w:numPr>
        <w:spacing w:line="360" w:lineRule="auto"/>
        <w:ind w:firstLine="482" w:firstLineChars="200"/>
        <w:outlineLvl w:val="1"/>
        <w:rPr>
          <w:rFonts w:hint="eastAsia"/>
          <w:b/>
        </w:rPr>
      </w:pPr>
      <w:r>
        <w:rPr>
          <w:rFonts w:hint="eastAsia"/>
          <w:b/>
        </w:rPr>
        <w:t>违约责任及免责条款</w:t>
      </w:r>
    </w:p>
    <w:p>
      <w:pPr>
        <w:widowControl/>
        <w:numPr>
          <w:ilvl w:val="0"/>
          <w:numId w:val="14"/>
        </w:numPr>
        <w:spacing w:line="360" w:lineRule="auto"/>
        <w:ind w:firstLine="480" w:firstLineChars="200"/>
        <w:contextualSpacing/>
        <w:outlineLvl w:val="2"/>
        <w:rPr>
          <w:rFonts w:ascii="宋体" w:hAnsi="宋体"/>
        </w:rPr>
      </w:pPr>
      <w:r>
        <w:rPr>
          <w:rFonts w:hint="eastAsia" w:ascii="宋体" w:hAnsi="宋体"/>
        </w:rPr>
        <w:t>若因投资人原因导致司法或行政机构采取强制措施对其理财本金、收益进行部分或全部被扣划，均视投资者本人就全部理财本金违约进行了提前赎回，本合同自动终止。因提前终止而产生的损失及相关费用由投资者承担。本合同前述情况终止的，理财本金不计付赎回日前的理财收益，也不计付存款利息。</w:t>
      </w:r>
    </w:p>
    <w:p>
      <w:pPr>
        <w:widowControl/>
        <w:numPr>
          <w:ilvl w:val="0"/>
          <w:numId w:val="14"/>
        </w:numPr>
        <w:spacing w:line="360" w:lineRule="auto"/>
        <w:ind w:firstLine="480" w:firstLineChars="200"/>
        <w:contextualSpacing/>
        <w:outlineLvl w:val="2"/>
        <w:rPr>
          <w:rFonts w:ascii="宋体" w:hAnsi="宋体"/>
        </w:rPr>
      </w:pPr>
      <w:r>
        <w:rPr>
          <w:rFonts w:hint="eastAsia" w:ascii="宋体" w:hAnsi="宋体"/>
        </w:rPr>
        <w:t>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numPr>
          <w:ilvl w:val="0"/>
          <w:numId w:val="14"/>
        </w:numPr>
        <w:spacing w:line="360" w:lineRule="auto"/>
        <w:ind w:firstLine="480" w:firstLineChars="200"/>
        <w:contextualSpacing/>
        <w:outlineLvl w:val="2"/>
        <w:rPr>
          <w:rFonts w:ascii="宋体" w:hAnsi="宋体"/>
        </w:rPr>
      </w:pPr>
      <w:r>
        <w:rPr>
          <w:rFonts w:hint="eastAsia" w:ascii="宋体" w:hAnsi="宋体"/>
        </w:rPr>
        <w:t>若由于管理人过错导致理财计划资产发生损失，管理人应按其过错承担赔偿责任，管理人赔偿的款项计入本理财计划的资产和收益，由所有投资者按理财本金比例分配。</w:t>
      </w:r>
    </w:p>
    <w:p>
      <w:pPr>
        <w:widowControl/>
        <w:numPr>
          <w:ilvl w:val="0"/>
          <w:numId w:val="14"/>
        </w:numPr>
        <w:spacing w:line="360" w:lineRule="auto"/>
        <w:ind w:firstLine="480" w:firstLineChars="200"/>
        <w:contextualSpacing/>
        <w:outlineLvl w:val="2"/>
        <w:rPr>
          <w:rFonts w:hint="eastAsia" w:ascii="宋体" w:hAnsi="宋体"/>
        </w:rPr>
      </w:pPr>
      <w:r>
        <w:rPr>
          <w:rFonts w:hint="eastAsia" w:ascii="宋体" w:hAnsi="宋体"/>
        </w:rPr>
        <w:t>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numPr>
          <w:ilvl w:val="0"/>
          <w:numId w:val="14"/>
        </w:numPr>
        <w:spacing w:line="360" w:lineRule="auto"/>
        <w:ind w:firstLine="480" w:firstLineChars="200"/>
        <w:contextualSpacing/>
        <w:outlineLvl w:val="2"/>
        <w:rPr>
          <w:rFonts w:hint="eastAsia" w:ascii="宋体" w:hAnsi="宋体"/>
        </w:rPr>
      </w:pPr>
      <w:r>
        <w:rPr>
          <w:rFonts w:hint="eastAsia" w:ascii="宋体" w:hAnsi="宋体"/>
        </w:rPr>
        <w:t>因国家有关法律、法规、规章、政策的修改或新的法律、法规、规章、政策颁布以及紧急措施的出台导致的风险及损失，管理人不承担责任。</w:t>
      </w:r>
    </w:p>
    <w:p>
      <w:pPr>
        <w:widowControl/>
        <w:numPr>
          <w:ilvl w:val="0"/>
          <w:numId w:val="14"/>
        </w:numPr>
        <w:spacing w:line="360" w:lineRule="auto"/>
        <w:ind w:firstLine="480" w:firstLineChars="200"/>
        <w:contextualSpacing/>
        <w:outlineLvl w:val="2"/>
        <w:rPr>
          <w:rFonts w:hint="eastAsia" w:ascii="宋体" w:hAnsi="宋体"/>
        </w:rPr>
      </w:pPr>
      <w:r>
        <w:rPr>
          <w:rFonts w:hint="eastAsia" w:ascii="宋体" w:hAnsi="宋体"/>
        </w:rPr>
        <w:t>管理人若严格按照产品说明书相关规定进行投资运作，给投资者造成损失的，应免除管理人责任。</w:t>
      </w:r>
    </w:p>
    <w:p>
      <w:pPr>
        <w:widowControl/>
        <w:spacing w:line="360" w:lineRule="auto"/>
        <w:contextualSpacing/>
        <w:rPr>
          <w:rFonts w:ascii="宋体" w:hAnsi="宋体"/>
        </w:rPr>
      </w:pPr>
    </w:p>
    <w:p>
      <w:pPr>
        <w:numPr>
          <w:ilvl w:val="0"/>
          <w:numId w:val="10"/>
        </w:numPr>
        <w:spacing w:line="360" w:lineRule="auto"/>
        <w:ind w:firstLine="482" w:firstLineChars="200"/>
        <w:outlineLvl w:val="1"/>
        <w:rPr>
          <w:b/>
        </w:rPr>
      </w:pPr>
      <w:r>
        <w:rPr>
          <w:rFonts w:hint="eastAsia"/>
          <w:b/>
        </w:rPr>
        <w:t>适用法律与争议解决</w:t>
      </w:r>
    </w:p>
    <w:p>
      <w:pPr>
        <w:widowControl/>
        <w:spacing w:line="360" w:lineRule="auto"/>
        <w:ind w:firstLine="480" w:firstLineChars="200"/>
        <w:contextualSpacing/>
        <w:rPr>
          <w:rFonts w:ascii="宋体" w:hAnsi="宋体"/>
        </w:rPr>
      </w:pPr>
      <w:r>
        <w:rPr>
          <w:rFonts w:hint="eastAsia" w:ascii="宋体" w:hAnsi="宋体"/>
        </w:rPr>
        <w:t>本合同适用</w:t>
      </w:r>
      <w:r>
        <w:rPr>
          <w:rFonts w:hint="eastAsia" w:ascii="宋体" w:hAnsi="宋体" w:cs="宋体"/>
          <w:bCs/>
          <w:color w:val="000000"/>
        </w:rPr>
        <w:t>中华人民共和国（仅为明确本合同适用法律规则，不含香港特别行政区、澳门特别行政区及中国台湾地区）</w:t>
      </w:r>
      <w:r>
        <w:rPr>
          <w:rFonts w:hint="eastAsia" w:ascii="宋体" w:hAnsi="宋体"/>
        </w:rPr>
        <w:t>的法律和行政法规。本合同项下的及与之有关的一切争议，投资者与管理人双方应首先协商解决，协商不成的，应提交销售机构或管理人所在地人民法院司法裁决。诉讼期间，未涉及争议的条款仍需继续履行。</w:t>
      </w:r>
    </w:p>
    <w:p>
      <w:pPr>
        <w:spacing w:line="360" w:lineRule="auto"/>
        <w:ind w:left="482"/>
        <w:rPr>
          <w:b/>
        </w:rPr>
      </w:pPr>
    </w:p>
    <w:p>
      <w:pPr>
        <w:numPr>
          <w:ilvl w:val="0"/>
          <w:numId w:val="10"/>
        </w:numPr>
        <w:spacing w:line="360" w:lineRule="auto"/>
        <w:ind w:firstLine="482" w:firstLineChars="200"/>
        <w:outlineLvl w:val="1"/>
        <w:rPr>
          <w:rFonts w:hint="eastAsia"/>
          <w:b/>
        </w:rPr>
      </w:pPr>
      <w:r>
        <w:rPr>
          <w:rFonts w:hint="eastAsia"/>
          <w:b/>
        </w:rPr>
        <w:t>协议生效和终止</w:t>
      </w:r>
    </w:p>
    <w:p>
      <w:pPr>
        <w:widowControl/>
        <w:numPr>
          <w:ilvl w:val="0"/>
          <w:numId w:val="15"/>
        </w:numPr>
        <w:spacing w:line="360" w:lineRule="auto"/>
        <w:ind w:firstLine="480" w:firstLineChars="200"/>
        <w:contextualSpacing/>
        <w:outlineLvl w:val="2"/>
        <w:rPr>
          <w:rFonts w:ascii="宋体" w:hAnsi="宋体"/>
        </w:rPr>
      </w:pPr>
      <w:r>
        <w:rPr>
          <w:rFonts w:hint="eastAsia" w:ascii="宋体" w:hAnsi="宋体"/>
        </w:rPr>
        <w:t xml:space="preserve">投资者和管理人双方认可本协议可以纸质或电子数据等形式提交、订立或确认。 </w:t>
      </w:r>
    </w:p>
    <w:p>
      <w:pPr>
        <w:widowControl/>
        <w:numPr>
          <w:ilvl w:val="0"/>
          <w:numId w:val="15"/>
        </w:numPr>
        <w:spacing w:line="360" w:lineRule="auto"/>
        <w:ind w:firstLine="480" w:firstLineChars="200"/>
        <w:contextualSpacing/>
        <w:outlineLvl w:val="2"/>
        <w:rPr>
          <w:rFonts w:hint="eastAsia" w:ascii="宋体" w:hAnsi="宋体"/>
        </w:rPr>
      </w:pPr>
      <w:r>
        <w:rPr>
          <w:rFonts w:hint="eastAsia" w:ascii="宋体" w:hAnsi="宋体"/>
        </w:rPr>
        <w:t xml:space="preserve">本协议书以纸质书面形式订立的，自投资者签字和销售机构代表管理人签署盖章之后立即生效。协议一式贰份，投资者和管理人双方各执壹份，具有同等法律效力。 </w:t>
      </w:r>
    </w:p>
    <w:p>
      <w:pPr>
        <w:widowControl/>
        <w:numPr>
          <w:ilvl w:val="0"/>
          <w:numId w:val="15"/>
        </w:numPr>
        <w:spacing w:line="360" w:lineRule="auto"/>
        <w:ind w:firstLine="480" w:firstLineChars="200"/>
        <w:contextualSpacing/>
        <w:outlineLvl w:val="2"/>
        <w:rPr>
          <w:rFonts w:hint="eastAsia" w:ascii="宋体" w:hAnsi="宋体"/>
        </w:rPr>
      </w:pPr>
      <w:r>
        <w:rPr>
          <w:rFonts w:hint="eastAsia" w:ascii="宋体" w:hAnsi="宋体"/>
        </w:rPr>
        <w:t>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numPr>
          <w:ilvl w:val="0"/>
          <w:numId w:val="15"/>
        </w:numPr>
        <w:spacing w:line="360" w:lineRule="auto"/>
        <w:ind w:firstLine="480" w:firstLineChars="200"/>
        <w:contextualSpacing/>
        <w:outlineLvl w:val="2"/>
        <w:rPr>
          <w:rFonts w:hint="eastAsia" w:ascii="宋体" w:hAnsi="宋体"/>
        </w:rPr>
      </w:pPr>
      <w:r>
        <w:rPr>
          <w:rFonts w:hint="eastAsia" w:ascii="宋体" w:hAnsi="宋体"/>
        </w:rPr>
        <w:t>投资者和管理人双方在本协议及对应期次的《理财计划产品说明书》项下权利义务履行完毕之日，本协议自动终止。</w:t>
      </w:r>
    </w:p>
    <w:p>
      <w:pPr>
        <w:widowControl/>
        <w:spacing w:line="360" w:lineRule="auto"/>
        <w:ind w:left="6"/>
        <w:contextualSpacing/>
        <w:rPr>
          <w:rFonts w:ascii="宋体" w:hAnsi="宋体"/>
        </w:rPr>
      </w:pPr>
    </w:p>
    <w:p>
      <w:pPr>
        <w:numPr>
          <w:ilvl w:val="0"/>
          <w:numId w:val="10"/>
        </w:numPr>
        <w:spacing w:line="360" w:lineRule="auto"/>
        <w:ind w:firstLine="482" w:firstLineChars="200"/>
        <w:outlineLvl w:val="1"/>
        <w:rPr>
          <w:b/>
        </w:rPr>
      </w:pPr>
      <w:r>
        <w:rPr>
          <w:rFonts w:hint="eastAsia"/>
          <w:b/>
        </w:rPr>
        <w:t>附则</w:t>
      </w:r>
    </w:p>
    <w:p>
      <w:pPr>
        <w:widowControl/>
        <w:numPr>
          <w:ilvl w:val="0"/>
          <w:numId w:val="16"/>
        </w:numPr>
        <w:spacing w:line="360" w:lineRule="auto"/>
        <w:ind w:firstLine="480" w:firstLineChars="200"/>
        <w:contextualSpacing/>
        <w:outlineLvl w:val="2"/>
        <w:rPr>
          <w:rFonts w:ascii="宋体" w:hAnsi="宋体"/>
        </w:rPr>
      </w:pPr>
      <w:r>
        <w:rPr>
          <w:rFonts w:hint="eastAsia" w:ascii="宋体" w:hAnsi="宋体"/>
        </w:rPr>
        <w:t>如果投资者与管理人之间存在多份理财计划协议书，则每一份协议书分别与其所对应的产品说明书等销售文本单独构成一个理财计划交易合同，各个合同之间互相独立，每一合同的效力及履行情况均独立于其他合同。</w:t>
      </w:r>
    </w:p>
    <w:p>
      <w:pPr>
        <w:widowControl/>
        <w:numPr>
          <w:ilvl w:val="0"/>
          <w:numId w:val="16"/>
        </w:numPr>
        <w:spacing w:line="360" w:lineRule="auto"/>
        <w:ind w:firstLine="480" w:firstLineChars="200"/>
        <w:contextualSpacing/>
        <w:outlineLvl w:val="2"/>
        <w:rPr>
          <w:rFonts w:ascii="宋体" w:hAnsi="宋体"/>
        </w:rPr>
      </w:pPr>
      <w:r>
        <w:rPr>
          <w:rFonts w:hint="eastAsia" w:ascii="宋体" w:hAnsi="宋体"/>
        </w:rPr>
        <w:t>如果由于任何原因使本合同下的任何条款或内容成为无效或被依法撤销，本合同其他条款或内容的合法性、有效性和可执行性不受影响。</w:t>
      </w:r>
    </w:p>
    <w:p>
      <w:pPr>
        <w:widowControl/>
        <w:numPr>
          <w:ilvl w:val="0"/>
          <w:numId w:val="16"/>
        </w:numPr>
        <w:spacing w:line="360" w:lineRule="auto"/>
        <w:ind w:firstLine="480" w:firstLineChars="200"/>
        <w:contextualSpacing/>
        <w:outlineLvl w:val="2"/>
        <w:rPr>
          <w:rFonts w:ascii="宋体" w:hAnsi="宋体"/>
        </w:rPr>
      </w:pPr>
      <w:r>
        <w:rPr>
          <w:rFonts w:hint="eastAsia" w:ascii="宋体" w:hAnsi="宋体"/>
        </w:rPr>
        <w:t>在理财计划存续期内，如因监管政策或法律法规发生变化，在不损害投资者利益的前提下，管理人有权单方对理财计划合同进行修订。</w:t>
      </w:r>
    </w:p>
    <w:p>
      <w:pPr>
        <w:spacing w:line="360" w:lineRule="auto"/>
        <w:ind w:firstLine="480" w:firstLineChars="200"/>
        <w:rPr>
          <w:rFonts w:ascii="宋体" w:hAnsi="宋体" w:cs="宋体"/>
          <w:bCs/>
          <w:color w:val="000000"/>
        </w:rPr>
      </w:pPr>
    </w:p>
    <w:p>
      <w:pPr>
        <w:spacing w:line="360" w:lineRule="auto"/>
        <w:ind w:firstLine="480" w:firstLineChars="200"/>
        <w:rPr>
          <w:rFonts w:ascii="宋体" w:hAnsi="宋体" w:cs="宋体"/>
          <w:bCs/>
          <w:color w:val="000000"/>
        </w:rPr>
      </w:pPr>
    </w:p>
    <w:p>
      <w:pPr>
        <w:pStyle w:val="9"/>
        <w:widowControl/>
        <w:spacing w:line="360" w:lineRule="auto"/>
        <w:jc w:val="right"/>
        <w:rPr>
          <w:rFonts w:hint="eastAsia" w:ascii="宋体" w:hAnsi="Wingdings" w:cs="宋体"/>
          <w:color w:val="000000"/>
          <w:kern w:val="0"/>
        </w:rPr>
      </w:pPr>
      <w:r>
        <w:rPr>
          <w:rFonts w:hint="eastAsia" w:ascii="宋体" w:hAnsi="宋体" w:cs="宋体"/>
          <w:kern w:val="0"/>
        </w:rPr>
        <w:t>杭银理财有限责任公司</w:t>
      </w:r>
    </w:p>
    <w:p>
      <w:pPr>
        <w:spacing w:line="360" w:lineRule="auto"/>
        <w:rPr>
          <w:rFonts w:ascii="宋体" w:hAnsi="宋体" w:cs="宋体"/>
          <w:bCs/>
          <w:color w:val="000000"/>
        </w:rPr>
      </w:pPr>
    </w:p>
    <w:p>
      <w:pPr>
        <w:spacing w:line="360" w:lineRule="auto"/>
        <w:rPr>
          <w:rFonts w:ascii="宋体" w:hAnsi="宋体" w:cs="宋体"/>
          <w:bCs/>
          <w:color w:val="000000"/>
        </w:rPr>
      </w:pPr>
    </w:p>
    <w:p>
      <w:pPr>
        <w:spacing w:line="360" w:lineRule="auto"/>
        <w:rPr>
          <w:rFonts w:ascii="宋体" w:hAnsi="宋体" w:cs="宋体"/>
          <w:bCs/>
          <w:color w:val="000000"/>
        </w:rPr>
      </w:pPr>
    </w:p>
    <w:p>
      <w:pPr>
        <w:spacing w:line="360" w:lineRule="auto"/>
        <w:rPr>
          <w:rFonts w:ascii="宋体" w:hAnsi="宋体" w:cs="宋体"/>
          <w:bCs/>
          <w:color w:val="000000"/>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left"/>
      <w:rPr>
        <w:b/>
        <w:bCs/>
      </w:rPr>
    </w:pPr>
    <w:r>
      <w:rPr>
        <w:b/>
        <w:bCs/>
      </w:rPr>
      <w:drawing>
        <wp:anchor distT="0" distB="0" distL="114300" distR="114300" simplePos="0" relativeHeight="251659264" behindDoc="1" locked="0" layoutInCell="1" allowOverlap="1">
          <wp:simplePos x="0" y="0"/>
          <wp:positionH relativeFrom="column">
            <wp:posOffset>5181600</wp:posOffset>
          </wp:positionH>
          <wp:positionV relativeFrom="paragraph">
            <wp:posOffset>-585470</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b/>
        <w:bCs/>
      </w:rPr>
      <w:t>理财非存款 产品有风险 投资</w:t>
    </w:r>
    <w:r>
      <w:rPr>
        <w:rFonts w:hint="eastAsia"/>
        <w:b/>
        <w:bCs/>
        <w:lang w:val="en-US" w:eastAsia="zh-CN"/>
      </w:rPr>
      <w:t>须</w:t>
    </w:r>
    <w:r>
      <w:rPr>
        <w:rFonts w:hint="eastAsia"/>
        <w:b/>
        <w:bCs/>
      </w:rPr>
      <w:t>谨慎</w:t>
    </w:r>
    <w:r>
      <w:rPr>
        <w:rFonts w:hint="eastAsia"/>
        <w:b/>
        <w:bCs/>
        <w:color w:val="FF0000"/>
      </w:rPr>
      <w:t xml:space="preserve">  </w:t>
    </w:r>
    <w:r>
      <w:rPr>
        <w:rFonts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8226EF"/>
    <w:multiLevelType w:val="singleLevel"/>
    <w:tmpl w:val="B08226EF"/>
    <w:lvl w:ilvl="0" w:tentative="0">
      <w:start w:val="1"/>
      <w:numFmt w:val="chineseCounting"/>
      <w:suff w:val="space"/>
      <w:lvlText w:val="第%1条"/>
      <w:lvlJc w:val="left"/>
      <w:rPr>
        <w:rFonts w:hint="eastAsia"/>
      </w:rPr>
    </w:lvl>
  </w:abstractNum>
  <w:abstractNum w:abstractNumId="1">
    <w:nsid w:val="3C550B14"/>
    <w:multiLevelType w:val="singleLevel"/>
    <w:tmpl w:val="3C550B14"/>
    <w:lvl w:ilvl="0" w:tentative="0">
      <w:start w:val="1"/>
      <w:numFmt w:val="decimal"/>
      <w:suff w:val="nothing"/>
      <w:lvlText w:val="%1．"/>
      <w:lvlJc w:val="left"/>
      <w:pPr>
        <w:ind w:left="0" w:firstLine="400"/>
      </w:pPr>
      <w:rPr>
        <w:rFonts w:hint="default"/>
      </w:rPr>
    </w:lvl>
  </w:abstractNum>
  <w:abstractNum w:abstractNumId="2">
    <w:nsid w:val="60C0383C"/>
    <w:multiLevelType w:val="singleLevel"/>
    <w:tmpl w:val="60C0383C"/>
    <w:lvl w:ilvl="0" w:tentative="0">
      <w:start w:val="1"/>
      <w:numFmt w:val="chineseCounting"/>
      <w:suff w:val="nothing"/>
      <w:lvlText w:val="（%1）"/>
      <w:lvlJc w:val="left"/>
      <w:pPr>
        <w:ind w:left="0" w:firstLine="420"/>
      </w:pPr>
      <w:rPr>
        <w:rFonts w:hint="eastAsia"/>
      </w:rPr>
    </w:lvl>
  </w:abstractNum>
  <w:abstractNum w:abstractNumId="3">
    <w:nsid w:val="60C03881"/>
    <w:multiLevelType w:val="singleLevel"/>
    <w:tmpl w:val="60C03881"/>
    <w:lvl w:ilvl="0" w:tentative="0">
      <w:start w:val="1"/>
      <w:numFmt w:val="chineseCounting"/>
      <w:suff w:val="nothing"/>
      <w:lvlText w:val="（%1）"/>
      <w:lvlJc w:val="left"/>
      <w:pPr>
        <w:ind w:left="0" w:firstLine="420"/>
      </w:pPr>
      <w:rPr>
        <w:rFonts w:hint="eastAsia"/>
      </w:rPr>
    </w:lvl>
  </w:abstractNum>
  <w:abstractNum w:abstractNumId="4">
    <w:nsid w:val="60C038C0"/>
    <w:multiLevelType w:val="singleLevel"/>
    <w:tmpl w:val="60C038C0"/>
    <w:lvl w:ilvl="0" w:tentative="0">
      <w:start w:val="1"/>
      <w:numFmt w:val="chineseCounting"/>
      <w:suff w:val="nothing"/>
      <w:lvlText w:val="（%1）"/>
      <w:lvlJc w:val="left"/>
      <w:pPr>
        <w:ind w:left="0" w:firstLine="420"/>
      </w:pPr>
      <w:rPr>
        <w:rFonts w:hint="eastAsia"/>
      </w:rPr>
    </w:lvl>
  </w:abstractNum>
  <w:abstractNum w:abstractNumId="5">
    <w:nsid w:val="60C038EA"/>
    <w:multiLevelType w:val="singleLevel"/>
    <w:tmpl w:val="60C038EA"/>
    <w:lvl w:ilvl="0" w:tentative="0">
      <w:start w:val="1"/>
      <w:numFmt w:val="chineseCounting"/>
      <w:suff w:val="nothing"/>
      <w:lvlText w:val="（%1）"/>
      <w:lvlJc w:val="left"/>
      <w:pPr>
        <w:ind w:left="0" w:firstLine="420"/>
      </w:pPr>
      <w:rPr>
        <w:rFonts w:hint="eastAsia"/>
      </w:rPr>
    </w:lvl>
  </w:abstractNum>
  <w:abstractNum w:abstractNumId="6">
    <w:nsid w:val="60C03912"/>
    <w:multiLevelType w:val="singleLevel"/>
    <w:tmpl w:val="60C03912"/>
    <w:lvl w:ilvl="0" w:tentative="0">
      <w:start w:val="1"/>
      <w:numFmt w:val="chineseCounting"/>
      <w:suff w:val="nothing"/>
      <w:lvlText w:val="（%1）"/>
      <w:lvlJc w:val="left"/>
      <w:pPr>
        <w:ind w:left="0" w:firstLine="420"/>
      </w:pPr>
      <w:rPr>
        <w:rFonts w:hint="eastAsia"/>
      </w:rPr>
    </w:lvl>
  </w:abstractNum>
  <w:abstractNum w:abstractNumId="7">
    <w:nsid w:val="60C03933"/>
    <w:multiLevelType w:val="singleLevel"/>
    <w:tmpl w:val="60C03933"/>
    <w:lvl w:ilvl="0" w:tentative="0">
      <w:start w:val="1"/>
      <w:numFmt w:val="chineseCounting"/>
      <w:suff w:val="nothing"/>
      <w:lvlText w:val="（%1）"/>
      <w:lvlJc w:val="left"/>
      <w:pPr>
        <w:ind w:left="0" w:firstLine="420"/>
      </w:pPr>
      <w:rPr>
        <w:rFonts w:hint="eastAsia"/>
      </w:rPr>
    </w:lvl>
  </w:abstractNum>
  <w:abstractNum w:abstractNumId="8">
    <w:nsid w:val="60C03E3F"/>
    <w:multiLevelType w:val="singleLevel"/>
    <w:tmpl w:val="60C03E3F"/>
    <w:lvl w:ilvl="0" w:tentative="0">
      <w:start w:val="1"/>
      <w:numFmt w:val="chineseCounting"/>
      <w:suff w:val="nothing"/>
      <w:lvlText w:val="（%1）"/>
      <w:lvlJc w:val="left"/>
      <w:pPr>
        <w:ind w:left="0" w:firstLine="420"/>
      </w:pPr>
      <w:rPr>
        <w:rFonts w:hint="eastAsia"/>
      </w:rPr>
    </w:lvl>
  </w:abstractNum>
  <w:abstractNum w:abstractNumId="9">
    <w:nsid w:val="60C03E76"/>
    <w:multiLevelType w:val="singleLevel"/>
    <w:tmpl w:val="60C03E76"/>
    <w:lvl w:ilvl="0" w:tentative="0">
      <w:start w:val="1"/>
      <w:numFmt w:val="chineseCounting"/>
      <w:suff w:val="nothing"/>
      <w:lvlText w:val="%1、"/>
      <w:lvlJc w:val="left"/>
      <w:pPr>
        <w:ind w:left="0" w:firstLine="420"/>
      </w:pPr>
      <w:rPr>
        <w:rFonts w:hint="eastAsia"/>
      </w:rPr>
    </w:lvl>
  </w:abstractNum>
  <w:abstractNum w:abstractNumId="10">
    <w:nsid w:val="60C03E91"/>
    <w:multiLevelType w:val="singleLevel"/>
    <w:tmpl w:val="60C03E91"/>
    <w:lvl w:ilvl="0" w:tentative="0">
      <w:start w:val="2"/>
      <w:numFmt w:val="chineseCounting"/>
      <w:suff w:val="nothing"/>
      <w:lvlText w:val="%1、"/>
      <w:lvlJc w:val="left"/>
      <w:pPr>
        <w:ind w:left="0" w:firstLine="420"/>
      </w:pPr>
      <w:rPr>
        <w:rFonts w:hint="eastAsia"/>
      </w:rPr>
    </w:lvl>
  </w:abstractNum>
  <w:abstractNum w:abstractNumId="11">
    <w:nsid w:val="60C03EC3"/>
    <w:multiLevelType w:val="singleLevel"/>
    <w:tmpl w:val="60C03EC3"/>
    <w:lvl w:ilvl="0" w:tentative="0">
      <w:start w:val="3"/>
      <w:numFmt w:val="chineseCounting"/>
      <w:suff w:val="nothing"/>
      <w:lvlText w:val="%1、"/>
      <w:lvlJc w:val="left"/>
      <w:pPr>
        <w:ind w:left="0" w:firstLine="420"/>
      </w:pPr>
      <w:rPr>
        <w:rFonts w:hint="eastAsia"/>
      </w:rPr>
    </w:lvl>
  </w:abstractNum>
  <w:abstractNum w:abstractNumId="12">
    <w:nsid w:val="60C03ED7"/>
    <w:multiLevelType w:val="singleLevel"/>
    <w:tmpl w:val="60C03ED7"/>
    <w:lvl w:ilvl="0" w:tentative="0">
      <w:start w:val="1"/>
      <w:numFmt w:val="chineseCounting"/>
      <w:suff w:val="nothing"/>
      <w:lvlText w:val="（%1）"/>
      <w:lvlJc w:val="left"/>
      <w:pPr>
        <w:ind w:left="0" w:firstLine="420"/>
      </w:pPr>
      <w:rPr>
        <w:rFonts w:hint="eastAsia"/>
      </w:rPr>
    </w:lvl>
  </w:abstractNum>
  <w:abstractNum w:abstractNumId="13">
    <w:nsid w:val="60C03F05"/>
    <w:multiLevelType w:val="singleLevel"/>
    <w:tmpl w:val="60C03F05"/>
    <w:lvl w:ilvl="0" w:tentative="0">
      <w:start w:val="1"/>
      <w:numFmt w:val="decimal"/>
      <w:suff w:val="nothing"/>
      <w:lvlText w:val="%1．"/>
      <w:lvlJc w:val="left"/>
      <w:pPr>
        <w:ind w:left="0" w:firstLine="400"/>
      </w:pPr>
      <w:rPr>
        <w:rFonts w:hint="default"/>
      </w:rPr>
    </w:lvl>
  </w:abstractNum>
  <w:abstractNum w:abstractNumId="14">
    <w:nsid w:val="60C03F2E"/>
    <w:multiLevelType w:val="singleLevel"/>
    <w:tmpl w:val="60C03F2E"/>
    <w:lvl w:ilvl="0" w:tentative="0">
      <w:start w:val="4"/>
      <w:numFmt w:val="chineseCounting"/>
      <w:suff w:val="nothing"/>
      <w:lvlText w:val="（%1）"/>
      <w:lvlJc w:val="left"/>
      <w:pPr>
        <w:ind w:left="0" w:firstLine="420"/>
      </w:pPr>
      <w:rPr>
        <w:rFonts w:hint="eastAsia"/>
      </w:rPr>
    </w:lvl>
  </w:abstractNum>
  <w:abstractNum w:abstractNumId="15">
    <w:nsid w:val="60C03F4B"/>
    <w:multiLevelType w:val="singleLevel"/>
    <w:tmpl w:val="60C03F4B"/>
    <w:lvl w:ilvl="0" w:tentative="0">
      <w:start w:val="1"/>
      <w:numFmt w:val="chineseCounting"/>
      <w:suff w:val="nothing"/>
      <w:lvlText w:val="（%1）"/>
      <w:lvlJc w:val="left"/>
      <w:pPr>
        <w:ind w:left="0" w:firstLine="420"/>
      </w:pPr>
      <w:rPr>
        <w:rFonts w:hint="eastAsia"/>
      </w:rPr>
    </w:lvl>
  </w:abstractNum>
  <w:num w:numId="1">
    <w:abstractNumId w:val="9"/>
  </w:num>
  <w:num w:numId="2">
    <w:abstractNumId w:val="8"/>
  </w:num>
  <w:num w:numId="3">
    <w:abstractNumId w:val="10"/>
  </w:num>
  <w:num w:numId="4">
    <w:abstractNumId w:val="11"/>
  </w:num>
  <w:num w:numId="5">
    <w:abstractNumId w:val="12"/>
  </w:num>
  <w:num w:numId="6">
    <w:abstractNumId w:val="13"/>
  </w:num>
  <w:num w:numId="7">
    <w:abstractNumId w:val="14"/>
  </w:num>
  <w:num w:numId="8">
    <w:abstractNumId w:val="15"/>
  </w:num>
  <w:num w:numId="9">
    <w:abstractNumId w:val="1"/>
  </w:num>
  <w:num w:numId="10">
    <w:abstractNumId w:val="0"/>
  </w:num>
  <w:num w:numId="11">
    <w:abstractNumId w:val="2"/>
  </w:num>
  <w:num w:numId="12">
    <w:abstractNumId w:val="3"/>
  </w:num>
  <w:num w:numId="13">
    <w:abstractNumId w:val="4"/>
  </w:num>
  <w:num w:numId="14">
    <w:abstractNumId w:val="5"/>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jOWZhYjNhMDcwZTUwMzk1N2Q1ZTljMmJlZmYyNzcifQ=="/>
  </w:docVars>
  <w:rsids>
    <w:rsidRoot w:val="00172A27"/>
    <w:rsid w:val="000178B4"/>
    <w:rsid w:val="00021BE6"/>
    <w:rsid w:val="0004098C"/>
    <w:rsid w:val="00042468"/>
    <w:rsid w:val="00045100"/>
    <w:rsid w:val="00047907"/>
    <w:rsid w:val="000877EC"/>
    <w:rsid w:val="000C0172"/>
    <w:rsid w:val="00100E5A"/>
    <w:rsid w:val="0011018A"/>
    <w:rsid w:val="00123D4B"/>
    <w:rsid w:val="00130957"/>
    <w:rsid w:val="0013303A"/>
    <w:rsid w:val="00140631"/>
    <w:rsid w:val="00151ECC"/>
    <w:rsid w:val="00156D18"/>
    <w:rsid w:val="00162EB5"/>
    <w:rsid w:val="001851F1"/>
    <w:rsid w:val="001A1328"/>
    <w:rsid w:val="001B6B29"/>
    <w:rsid w:val="0025303E"/>
    <w:rsid w:val="002632D1"/>
    <w:rsid w:val="00297145"/>
    <w:rsid w:val="002A54C7"/>
    <w:rsid w:val="002C2C8D"/>
    <w:rsid w:val="002D02A6"/>
    <w:rsid w:val="002D5AC8"/>
    <w:rsid w:val="002F61C5"/>
    <w:rsid w:val="003158E5"/>
    <w:rsid w:val="00343831"/>
    <w:rsid w:val="00347E96"/>
    <w:rsid w:val="00350F71"/>
    <w:rsid w:val="003672B2"/>
    <w:rsid w:val="00375767"/>
    <w:rsid w:val="003A3E69"/>
    <w:rsid w:val="003C4216"/>
    <w:rsid w:val="003E58AC"/>
    <w:rsid w:val="004178FF"/>
    <w:rsid w:val="00453BD7"/>
    <w:rsid w:val="004605B1"/>
    <w:rsid w:val="0046352D"/>
    <w:rsid w:val="00480C66"/>
    <w:rsid w:val="0048601A"/>
    <w:rsid w:val="004A3039"/>
    <w:rsid w:val="004A3A51"/>
    <w:rsid w:val="004A5D04"/>
    <w:rsid w:val="004F79A4"/>
    <w:rsid w:val="00510FDF"/>
    <w:rsid w:val="005330F5"/>
    <w:rsid w:val="00542EB4"/>
    <w:rsid w:val="00546D0F"/>
    <w:rsid w:val="0055786D"/>
    <w:rsid w:val="00576D4B"/>
    <w:rsid w:val="00584815"/>
    <w:rsid w:val="005968F9"/>
    <w:rsid w:val="005B013E"/>
    <w:rsid w:val="005B1B23"/>
    <w:rsid w:val="005C4155"/>
    <w:rsid w:val="005D09A4"/>
    <w:rsid w:val="005D25FF"/>
    <w:rsid w:val="005D59CE"/>
    <w:rsid w:val="005D7FD8"/>
    <w:rsid w:val="005E00F7"/>
    <w:rsid w:val="005E0C13"/>
    <w:rsid w:val="005E7C2B"/>
    <w:rsid w:val="0060037C"/>
    <w:rsid w:val="00605011"/>
    <w:rsid w:val="00610026"/>
    <w:rsid w:val="00621B0B"/>
    <w:rsid w:val="00622129"/>
    <w:rsid w:val="006229B3"/>
    <w:rsid w:val="00644CDB"/>
    <w:rsid w:val="00686DDD"/>
    <w:rsid w:val="006B3E04"/>
    <w:rsid w:val="006C61AA"/>
    <w:rsid w:val="006E572E"/>
    <w:rsid w:val="00736F65"/>
    <w:rsid w:val="0074692F"/>
    <w:rsid w:val="00772BF5"/>
    <w:rsid w:val="00834591"/>
    <w:rsid w:val="00864495"/>
    <w:rsid w:val="008A206D"/>
    <w:rsid w:val="008B32E6"/>
    <w:rsid w:val="008C4316"/>
    <w:rsid w:val="008C4F31"/>
    <w:rsid w:val="00964F17"/>
    <w:rsid w:val="009952A1"/>
    <w:rsid w:val="009B44C2"/>
    <w:rsid w:val="009B4EEC"/>
    <w:rsid w:val="009D297F"/>
    <w:rsid w:val="009F11F1"/>
    <w:rsid w:val="009F2238"/>
    <w:rsid w:val="00A304D3"/>
    <w:rsid w:val="00A36A7B"/>
    <w:rsid w:val="00A66DA5"/>
    <w:rsid w:val="00A801BC"/>
    <w:rsid w:val="00A9377E"/>
    <w:rsid w:val="00AB05B7"/>
    <w:rsid w:val="00AC6F91"/>
    <w:rsid w:val="00AE24E4"/>
    <w:rsid w:val="00AF6666"/>
    <w:rsid w:val="00B04CE0"/>
    <w:rsid w:val="00B34D3B"/>
    <w:rsid w:val="00B946CD"/>
    <w:rsid w:val="00BB196A"/>
    <w:rsid w:val="00C01306"/>
    <w:rsid w:val="00C35C9E"/>
    <w:rsid w:val="00C518AB"/>
    <w:rsid w:val="00C51B22"/>
    <w:rsid w:val="00C723BD"/>
    <w:rsid w:val="00C7272E"/>
    <w:rsid w:val="00C748E6"/>
    <w:rsid w:val="00C83394"/>
    <w:rsid w:val="00C86327"/>
    <w:rsid w:val="00CB411D"/>
    <w:rsid w:val="00CB5BDC"/>
    <w:rsid w:val="00CD1EE3"/>
    <w:rsid w:val="00CD6702"/>
    <w:rsid w:val="00D019F4"/>
    <w:rsid w:val="00D02DAB"/>
    <w:rsid w:val="00D04564"/>
    <w:rsid w:val="00D07A21"/>
    <w:rsid w:val="00D20CD0"/>
    <w:rsid w:val="00D32EDE"/>
    <w:rsid w:val="00D3556B"/>
    <w:rsid w:val="00D537BB"/>
    <w:rsid w:val="00D564BF"/>
    <w:rsid w:val="00D66B9B"/>
    <w:rsid w:val="00D76188"/>
    <w:rsid w:val="00D76E37"/>
    <w:rsid w:val="00D9525E"/>
    <w:rsid w:val="00D96A1B"/>
    <w:rsid w:val="00D96A4F"/>
    <w:rsid w:val="00DE6A66"/>
    <w:rsid w:val="00E24992"/>
    <w:rsid w:val="00E30F71"/>
    <w:rsid w:val="00E37572"/>
    <w:rsid w:val="00E93B67"/>
    <w:rsid w:val="00EB36B6"/>
    <w:rsid w:val="00EE5183"/>
    <w:rsid w:val="00EF02E9"/>
    <w:rsid w:val="00F01F00"/>
    <w:rsid w:val="00F21A02"/>
    <w:rsid w:val="00F25702"/>
    <w:rsid w:val="00F265D6"/>
    <w:rsid w:val="00F4769C"/>
    <w:rsid w:val="00F61BEE"/>
    <w:rsid w:val="00FB08BD"/>
    <w:rsid w:val="00FC0FC8"/>
    <w:rsid w:val="00FD10B4"/>
    <w:rsid w:val="00FD2910"/>
    <w:rsid w:val="01364432"/>
    <w:rsid w:val="01523B8E"/>
    <w:rsid w:val="01E60817"/>
    <w:rsid w:val="03D14B4D"/>
    <w:rsid w:val="048C214F"/>
    <w:rsid w:val="056B17EF"/>
    <w:rsid w:val="056C133C"/>
    <w:rsid w:val="05E05E4D"/>
    <w:rsid w:val="05E31C0B"/>
    <w:rsid w:val="06420CFA"/>
    <w:rsid w:val="06503B59"/>
    <w:rsid w:val="06AB349F"/>
    <w:rsid w:val="06BA3213"/>
    <w:rsid w:val="0752555A"/>
    <w:rsid w:val="07E45984"/>
    <w:rsid w:val="0828699A"/>
    <w:rsid w:val="087D1C06"/>
    <w:rsid w:val="097E3F67"/>
    <w:rsid w:val="0A1347F5"/>
    <w:rsid w:val="0A2A32B9"/>
    <w:rsid w:val="0B0A5C5E"/>
    <w:rsid w:val="0B8E27E3"/>
    <w:rsid w:val="0BDE0A4F"/>
    <w:rsid w:val="0BF71AE2"/>
    <w:rsid w:val="0CA6603D"/>
    <w:rsid w:val="0D0B1B00"/>
    <w:rsid w:val="0E383496"/>
    <w:rsid w:val="0E4A4B6F"/>
    <w:rsid w:val="0E89341F"/>
    <w:rsid w:val="0EAE473F"/>
    <w:rsid w:val="0EF65480"/>
    <w:rsid w:val="0F190E6E"/>
    <w:rsid w:val="1052658C"/>
    <w:rsid w:val="10BE3A14"/>
    <w:rsid w:val="10E7087B"/>
    <w:rsid w:val="10FA5463"/>
    <w:rsid w:val="10FA718D"/>
    <w:rsid w:val="119F69A6"/>
    <w:rsid w:val="11A84D8B"/>
    <w:rsid w:val="11BA058F"/>
    <w:rsid w:val="12081858"/>
    <w:rsid w:val="12B62B3B"/>
    <w:rsid w:val="13031153"/>
    <w:rsid w:val="13181417"/>
    <w:rsid w:val="13E36602"/>
    <w:rsid w:val="14C57FED"/>
    <w:rsid w:val="150C5665"/>
    <w:rsid w:val="153D73AB"/>
    <w:rsid w:val="15B14B38"/>
    <w:rsid w:val="15C56302"/>
    <w:rsid w:val="160940BB"/>
    <w:rsid w:val="1659752C"/>
    <w:rsid w:val="16E43A7F"/>
    <w:rsid w:val="17AC2E32"/>
    <w:rsid w:val="17CF6B80"/>
    <w:rsid w:val="18235DC2"/>
    <w:rsid w:val="185A3DA1"/>
    <w:rsid w:val="18711387"/>
    <w:rsid w:val="198C4B50"/>
    <w:rsid w:val="19F13F4F"/>
    <w:rsid w:val="1A102675"/>
    <w:rsid w:val="1A3860E6"/>
    <w:rsid w:val="1A9B55D1"/>
    <w:rsid w:val="1AFD083A"/>
    <w:rsid w:val="1B280245"/>
    <w:rsid w:val="1B925DC3"/>
    <w:rsid w:val="1BBE4697"/>
    <w:rsid w:val="1BD772E4"/>
    <w:rsid w:val="1C446748"/>
    <w:rsid w:val="1C4B2805"/>
    <w:rsid w:val="1D552DD9"/>
    <w:rsid w:val="1D71653B"/>
    <w:rsid w:val="1DAB6D83"/>
    <w:rsid w:val="1E3173A3"/>
    <w:rsid w:val="1E6A3FAF"/>
    <w:rsid w:val="1E8B6C30"/>
    <w:rsid w:val="1EB16016"/>
    <w:rsid w:val="1EF32B89"/>
    <w:rsid w:val="1F015EF5"/>
    <w:rsid w:val="1F0F5A19"/>
    <w:rsid w:val="1F1D6E1F"/>
    <w:rsid w:val="1F3E7F7D"/>
    <w:rsid w:val="1F51312D"/>
    <w:rsid w:val="1FAA6A30"/>
    <w:rsid w:val="1FB02E5E"/>
    <w:rsid w:val="1FC9553A"/>
    <w:rsid w:val="20185399"/>
    <w:rsid w:val="204D3B12"/>
    <w:rsid w:val="205A2AB3"/>
    <w:rsid w:val="20B6224D"/>
    <w:rsid w:val="21025026"/>
    <w:rsid w:val="21DB0FCE"/>
    <w:rsid w:val="22A04AF7"/>
    <w:rsid w:val="22D3594B"/>
    <w:rsid w:val="22F12819"/>
    <w:rsid w:val="23753F06"/>
    <w:rsid w:val="238E1AAE"/>
    <w:rsid w:val="24345B9A"/>
    <w:rsid w:val="244116B6"/>
    <w:rsid w:val="245E14E1"/>
    <w:rsid w:val="24655F28"/>
    <w:rsid w:val="2483647E"/>
    <w:rsid w:val="25631299"/>
    <w:rsid w:val="256F076F"/>
    <w:rsid w:val="26182DC9"/>
    <w:rsid w:val="26276A8B"/>
    <w:rsid w:val="26820AF7"/>
    <w:rsid w:val="28887DDA"/>
    <w:rsid w:val="288C3BCA"/>
    <w:rsid w:val="292668E3"/>
    <w:rsid w:val="297C267E"/>
    <w:rsid w:val="2A1B5D68"/>
    <w:rsid w:val="2A5975B6"/>
    <w:rsid w:val="2A991D32"/>
    <w:rsid w:val="2AB92324"/>
    <w:rsid w:val="2AD6555A"/>
    <w:rsid w:val="2B376BE0"/>
    <w:rsid w:val="2BF61F2D"/>
    <w:rsid w:val="2C1B1E9D"/>
    <w:rsid w:val="2C673924"/>
    <w:rsid w:val="2CAB68C5"/>
    <w:rsid w:val="2D242E79"/>
    <w:rsid w:val="2E141F09"/>
    <w:rsid w:val="2E701821"/>
    <w:rsid w:val="2EBC6D03"/>
    <w:rsid w:val="2EBF57B7"/>
    <w:rsid w:val="2EE40EF9"/>
    <w:rsid w:val="2F1F666C"/>
    <w:rsid w:val="2FD32A37"/>
    <w:rsid w:val="30551FFC"/>
    <w:rsid w:val="311F702A"/>
    <w:rsid w:val="315E22B4"/>
    <w:rsid w:val="316354EE"/>
    <w:rsid w:val="31A82883"/>
    <w:rsid w:val="31C27A3E"/>
    <w:rsid w:val="320E3E15"/>
    <w:rsid w:val="32AB4C75"/>
    <w:rsid w:val="32C937E9"/>
    <w:rsid w:val="3315435F"/>
    <w:rsid w:val="333859A2"/>
    <w:rsid w:val="333F6AA7"/>
    <w:rsid w:val="33702146"/>
    <w:rsid w:val="34016892"/>
    <w:rsid w:val="341B6C29"/>
    <w:rsid w:val="3480359E"/>
    <w:rsid w:val="34BE4ED5"/>
    <w:rsid w:val="35476F5E"/>
    <w:rsid w:val="35FC44D5"/>
    <w:rsid w:val="36631FD8"/>
    <w:rsid w:val="36E72D9B"/>
    <w:rsid w:val="3734371B"/>
    <w:rsid w:val="379F2ED6"/>
    <w:rsid w:val="37C93E17"/>
    <w:rsid w:val="37CA172C"/>
    <w:rsid w:val="38071350"/>
    <w:rsid w:val="38224FD0"/>
    <w:rsid w:val="3A3E2041"/>
    <w:rsid w:val="3B131EF6"/>
    <w:rsid w:val="3B490D86"/>
    <w:rsid w:val="3C2F2290"/>
    <w:rsid w:val="3C980D44"/>
    <w:rsid w:val="3CA71260"/>
    <w:rsid w:val="3DBB1D7A"/>
    <w:rsid w:val="3DFF0FFD"/>
    <w:rsid w:val="3EA67C14"/>
    <w:rsid w:val="3EAD1B36"/>
    <w:rsid w:val="3F056B9E"/>
    <w:rsid w:val="3F35243F"/>
    <w:rsid w:val="3F354A62"/>
    <w:rsid w:val="3FF54C55"/>
    <w:rsid w:val="406370BC"/>
    <w:rsid w:val="40C878EE"/>
    <w:rsid w:val="40FB7670"/>
    <w:rsid w:val="41B60000"/>
    <w:rsid w:val="423C06E2"/>
    <w:rsid w:val="4254593A"/>
    <w:rsid w:val="42815397"/>
    <w:rsid w:val="42C94634"/>
    <w:rsid w:val="431306AF"/>
    <w:rsid w:val="43DD7224"/>
    <w:rsid w:val="45540446"/>
    <w:rsid w:val="45BB5620"/>
    <w:rsid w:val="45F127ED"/>
    <w:rsid w:val="46263D02"/>
    <w:rsid w:val="46BC428B"/>
    <w:rsid w:val="46C91029"/>
    <w:rsid w:val="46CD66A0"/>
    <w:rsid w:val="46DC2632"/>
    <w:rsid w:val="472803B7"/>
    <w:rsid w:val="472F1C30"/>
    <w:rsid w:val="488B59A4"/>
    <w:rsid w:val="49103FE3"/>
    <w:rsid w:val="494502E1"/>
    <w:rsid w:val="4A0228AF"/>
    <w:rsid w:val="4A7F0ADF"/>
    <w:rsid w:val="4A874A92"/>
    <w:rsid w:val="4AA612F0"/>
    <w:rsid w:val="4AC240FE"/>
    <w:rsid w:val="4B0D3113"/>
    <w:rsid w:val="4B2511E6"/>
    <w:rsid w:val="4BAF0E40"/>
    <w:rsid w:val="4BB80D05"/>
    <w:rsid w:val="4C4F6CB6"/>
    <w:rsid w:val="4C6B0DDA"/>
    <w:rsid w:val="4C6E1306"/>
    <w:rsid w:val="4D600874"/>
    <w:rsid w:val="4D607131"/>
    <w:rsid w:val="4E186164"/>
    <w:rsid w:val="4E2F1033"/>
    <w:rsid w:val="4E8274B0"/>
    <w:rsid w:val="4EFC1B31"/>
    <w:rsid w:val="4F2836A5"/>
    <w:rsid w:val="4FF363B3"/>
    <w:rsid w:val="501216FC"/>
    <w:rsid w:val="50B73634"/>
    <w:rsid w:val="51504FE6"/>
    <w:rsid w:val="52773339"/>
    <w:rsid w:val="52EC1D28"/>
    <w:rsid w:val="54D5479D"/>
    <w:rsid w:val="54E91D9C"/>
    <w:rsid w:val="551536F3"/>
    <w:rsid w:val="55995FB6"/>
    <w:rsid w:val="55A47BB4"/>
    <w:rsid w:val="56CB1B5C"/>
    <w:rsid w:val="56D931BE"/>
    <w:rsid w:val="57BB6218"/>
    <w:rsid w:val="57FF3AAA"/>
    <w:rsid w:val="58DD2EEE"/>
    <w:rsid w:val="58E96C7A"/>
    <w:rsid w:val="599613CD"/>
    <w:rsid w:val="59AD3C67"/>
    <w:rsid w:val="59C233CC"/>
    <w:rsid w:val="5A245D75"/>
    <w:rsid w:val="5AB470A7"/>
    <w:rsid w:val="5B0D630F"/>
    <w:rsid w:val="5C3C3DDC"/>
    <w:rsid w:val="5CC6548E"/>
    <w:rsid w:val="5D160516"/>
    <w:rsid w:val="5D204720"/>
    <w:rsid w:val="5D7D0F36"/>
    <w:rsid w:val="5DB61BFF"/>
    <w:rsid w:val="5DEF454B"/>
    <w:rsid w:val="5E5A6C63"/>
    <w:rsid w:val="5EB26079"/>
    <w:rsid w:val="5F3C6712"/>
    <w:rsid w:val="5F4B58F3"/>
    <w:rsid w:val="5F8A152B"/>
    <w:rsid w:val="602071F1"/>
    <w:rsid w:val="603570AA"/>
    <w:rsid w:val="6053481F"/>
    <w:rsid w:val="60541CA4"/>
    <w:rsid w:val="605C31B9"/>
    <w:rsid w:val="60AB2000"/>
    <w:rsid w:val="61023345"/>
    <w:rsid w:val="611975D3"/>
    <w:rsid w:val="61D85325"/>
    <w:rsid w:val="61F4710A"/>
    <w:rsid w:val="62096A76"/>
    <w:rsid w:val="62860AAA"/>
    <w:rsid w:val="629D5796"/>
    <w:rsid w:val="653A3E9D"/>
    <w:rsid w:val="66C12522"/>
    <w:rsid w:val="671E2162"/>
    <w:rsid w:val="67274D12"/>
    <w:rsid w:val="684A0366"/>
    <w:rsid w:val="68D8721E"/>
    <w:rsid w:val="68F4269B"/>
    <w:rsid w:val="6925055B"/>
    <w:rsid w:val="6AE15D69"/>
    <w:rsid w:val="6B610D05"/>
    <w:rsid w:val="6BAC21D5"/>
    <w:rsid w:val="6BDE6E57"/>
    <w:rsid w:val="6CED1CB3"/>
    <w:rsid w:val="6D3B42C3"/>
    <w:rsid w:val="6E7232F1"/>
    <w:rsid w:val="6E7E575F"/>
    <w:rsid w:val="6ECA4D4A"/>
    <w:rsid w:val="6EF15941"/>
    <w:rsid w:val="6F9921A1"/>
    <w:rsid w:val="70241E90"/>
    <w:rsid w:val="72266E6B"/>
    <w:rsid w:val="72BB119D"/>
    <w:rsid w:val="73407EBD"/>
    <w:rsid w:val="738C5415"/>
    <w:rsid w:val="73EF4563"/>
    <w:rsid w:val="74175679"/>
    <w:rsid w:val="744124AA"/>
    <w:rsid w:val="74664F47"/>
    <w:rsid w:val="7566433B"/>
    <w:rsid w:val="764958B9"/>
    <w:rsid w:val="765D0BDD"/>
    <w:rsid w:val="767067EF"/>
    <w:rsid w:val="76D14B12"/>
    <w:rsid w:val="76FF57FE"/>
    <w:rsid w:val="775A02A3"/>
    <w:rsid w:val="77E0572E"/>
    <w:rsid w:val="77ED4104"/>
    <w:rsid w:val="78847B81"/>
    <w:rsid w:val="78EF4372"/>
    <w:rsid w:val="79771B00"/>
    <w:rsid w:val="7980282D"/>
    <w:rsid w:val="798F6426"/>
    <w:rsid w:val="799103D8"/>
    <w:rsid w:val="7ACA272A"/>
    <w:rsid w:val="7B0E7C70"/>
    <w:rsid w:val="7B3B27CC"/>
    <w:rsid w:val="7BC66B36"/>
    <w:rsid w:val="7DDB06E0"/>
    <w:rsid w:val="7E6F339A"/>
    <w:rsid w:val="7E810662"/>
    <w:rsid w:val="7EE564F9"/>
    <w:rsid w:val="7F590AE3"/>
    <w:rsid w:val="7FDF456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4"/>
      <w:szCs w:val="24"/>
      <w:lang w:val="en-US" w:eastAsia="zh-CN" w:bidi="ar-SA"/>
    </w:rPr>
  </w:style>
  <w:style w:type="paragraph" w:styleId="2">
    <w:name w:val="heading 1"/>
    <w:basedOn w:val="1"/>
    <w:next w:val="1"/>
    <w:link w:val="19"/>
    <w:qFormat/>
    <w:uiPriority w:val="0"/>
    <w:pPr>
      <w:keepNext/>
      <w:keepLines/>
      <w:spacing w:before="100" w:beforeLines="0" w:beforeAutospacing="0" w:after="90" w:afterLines="0" w:afterAutospacing="0" w:line="240" w:lineRule="auto"/>
      <w:jc w:val="center"/>
      <w:outlineLvl w:val="0"/>
    </w:pPr>
    <w:rPr>
      <w:rFonts w:eastAsia="宋体"/>
      <w:b/>
      <w:kern w:val="44"/>
      <w:sz w:val="44"/>
    </w:rPr>
  </w:style>
  <w:style w:type="paragraph" w:styleId="3">
    <w:name w:val="heading 2"/>
    <w:basedOn w:val="1"/>
    <w:next w:val="1"/>
    <w:link w:val="20"/>
    <w:qFormat/>
    <w:uiPriority w:val="0"/>
    <w:pPr>
      <w:keepNext/>
      <w:keepLines/>
      <w:spacing w:before="20" w:beforeLines="0" w:beforeAutospacing="0" w:after="20" w:afterLines="0" w:afterAutospacing="0" w:line="240" w:lineRule="auto"/>
      <w:outlineLvl w:val="1"/>
    </w:pPr>
    <w:rPr>
      <w:rFonts w:ascii="Arial" w:hAnsi="Arial" w:eastAsia="宋体"/>
      <w:b/>
      <w:sz w:val="24"/>
    </w:rPr>
  </w:style>
  <w:style w:type="paragraph" w:styleId="4">
    <w:name w:val="heading 3"/>
    <w:basedOn w:val="1"/>
    <w:next w:val="1"/>
    <w:link w:val="21"/>
    <w:qFormat/>
    <w:uiPriority w:val="0"/>
    <w:pPr>
      <w:keepNext/>
      <w:keepLines/>
      <w:spacing w:before="20" w:beforeLines="0" w:beforeAutospacing="0" w:after="20" w:afterLines="0" w:afterAutospacing="0" w:line="360" w:lineRule="auto"/>
      <w:outlineLvl w:val="2"/>
    </w:pPr>
    <w:rPr>
      <w:rFonts w:hAnsi="Calibri" w:eastAsia="宋体"/>
      <w:b/>
      <w:sz w:val="24"/>
    </w:rPr>
  </w:style>
  <w:style w:type="character" w:default="1" w:styleId="13">
    <w:name w:val="Default Paragraph Font"/>
    <w:semiHidden/>
    <w:qFormat/>
    <w:uiPriority w:val="0"/>
  </w:style>
  <w:style w:type="table" w:default="1" w:styleId="11">
    <w:name w:val="Normal Table"/>
    <w:unhideWhenUsed/>
    <w:uiPriority w:val="99"/>
    <w:tblPr>
      <w:tblLayout w:type="fixed"/>
      <w:tblCellMar>
        <w:top w:w="0" w:type="dxa"/>
        <w:left w:w="108" w:type="dxa"/>
        <w:bottom w:w="0" w:type="dxa"/>
        <w:right w:w="108" w:type="dxa"/>
      </w:tblCellMar>
    </w:tblPr>
  </w:style>
  <w:style w:type="paragraph" w:styleId="5">
    <w:name w:val="annotation text"/>
    <w:basedOn w:val="1"/>
    <w:link w:val="24"/>
    <w:uiPriority w:val="0"/>
    <w:pPr>
      <w:jc w:val="left"/>
    </w:pPr>
  </w:style>
  <w:style w:type="paragraph" w:styleId="6">
    <w:name w:val="Balloon Text"/>
    <w:basedOn w:val="1"/>
    <w:link w:val="2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iPriority w:val="0"/>
    <w:rPr>
      <w:sz w:val="24"/>
    </w:rPr>
  </w:style>
  <w:style w:type="paragraph" w:styleId="10">
    <w:name w:val="annotation subject"/>
    <w:basedOn w:val="5"/>
    <w:next w:val="5"/>
    <w:link w:val="22"/>
    <w:uiPriority w:val="0"/>
    <w:rPr>
      <w:b/>
      <w:bCs/>
    </w:rPr>
  </w:style>
  <w:style w:type="table" w:styleId="12">
    <w:name w:val="Table Grid"/>
    <w:basedOn w:val="11"/>
    <w:unhideWhenUs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Hyperlink"/>
    <w:qFormat/>
    <w:uiPriority w:val="0"/>
    <w:rPr>
      <w:color w:val="0000FF"/>
      <w:u w:val="single"/>
    </w:rPr>
  </w:style>
  <w:style w:type="character" w:styleId="15">
    <w:name w:val="annotation reference"/>
    <w:uiPriority w:val="0"/>
    <w:rPr>
      <w:sz w:val="21"/>
      <w:szCs w:val="21"/>
    </w:r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7">
    <w:name w:val="样式1"/>
    <w:basedOn w:val="1"/>
    <w:next w:val="1"/>
    <w:uiPriority w:val="0"/>
    <w:pPr>
      <w:keepNext/>
      <w:keepLines/>
      <w:spacing w:before="340" w:beforeLines="0" w:after="330" w:afterLines="0" w:line="576" w:lineRule="auto"/>
      <w:outlineLvl w:val="0"/>
    </w:pPr>
    <w:rPr>
      <w:rFonts w:hint="eastAsia"/>
      <w:b/>
      <w:kern w:val="44"/>
      <w:sz w:val="44"/>
    </w:rPr>
  </w:style>
  <w:style w:type="paragraph" w:customStyle="1" w:styleId="18">
    <w:name w:val="List Paragraph"/>
    <w:basedOn w:val="1"/>
    <w:unhideWhenUsed/>
    <w:uiPriority w:val="99"/>
    <w:pPr>
      <w:ind w:firstLine="420" w:firstLineChars="200"/>
    </w:pPr>
  </w:style>
  <w:style w:type="character" w:customStyle="1" w:styleId="19">
    <w:name w:val="标题 1 字符"/>
    <w:link w:val="2"/>
    <w:uiPriority w:val="0"/>
    <w:rPr>
      <w:rFonts w:eastAsia="宋体"/>
      <w:b/>
      <w:kern w:val="44"/>
      <w:sz w:val="44"/>
    </w:rPr>
  </w:style>
  <w:style w:type="character" w:customStyle="1" w:styleId="20">
    <w:name w:val="标题 2 字符"/>
    <w:link w:val="3"/>
    <w:uiPriority w:val="0"/>
    <w:rPr>
      <w:rFonts w:ascii="Arial" w:hAnsi="Arial" w:eastAsia="宋体"/>
      <w:b/>
      <w:sz w:val="24"/>
    </w:rPr>
  </w:style>
  <w:style w:type="character" w:customStyle="1" w:styleId="21">
    <w:name w:val="标题 3 字符"/>
    <w:link w:val="4"/>
    <w:uiPriority w:val="0"/>
    <w:rPr>
      <w:rFonts w:hAnsi="Calibri" w:eastAsia="宋体"/>
      <w:b/>
      <w:sz w:val="24"/>
    </w:rPr>
  </w:style>
  <w:style w:type="character" w:customStyle="1" w:styleId="22">
    <w:name w:val="批注主题 字符"/>
    <w:link w:val="10"/>
    <w:uiPriority w:val="0"/>
    <w:rPr>
      <w:rFonts w:ascii="Calibri" w:hAnsi="Calibri" w:cs="黑体"/>
      <w:b/>
      <w:bCs/>
      <w:kern w:val="2"/>
      <w:sz w:val="21"/>
      <w:szCs w:val="24"/>
    </w:rPr>
  </w:style>
  <w:style w:type="character" w:customStyle="1" w:styleId="23">
    <w:name w:val="批注框文本 字符"/>
    <w:link w:val="6"/>
    <w:uiPriority w:val="0"/>
    <w:rPr>
      <w:rFonts w:ascii="Calibri" w:hAnsi="Calibri" w:cs="黑体"/>
      <w:kern w:val="2"/>
      <w:sz w:val="18"/>
      <w:szCs w:val="18"/>
    </w:rPr>
  </w:style>
  <w:style w:type="character" w:customStyle="1" w:styleId="24">
    <w:name w:val="批注文字 字符"/>
    <w:link w:val="5"/>
    <w:uiPriority w:val="0"/>
    <w:rPr>
      <w:rFonts w:ascii="Calibri" w:hAnsi="Calibri" w:cs="黑体"/>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5675</Words>
  <Characters>32353</Characters>
  <Lines>269</Lines>
  <Paragraphs>75</Paragraphs>
  <TotalTime>6</TotalTime>
  <ScaleCrop>false</ScaleCrop>
  <LinksUpToDate>false</LinksUpToDate>
  <CharactersWithSpaces>37953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2022-12-13T07:40:00Z</dcterms:created>
  <dc:creator>Administrator</dc:creator>
  <cp:lastModifiedBy>hccb</cp:lastModifiedBy>
  <dcterms:modified xsi:type="dcterms:W3CDTF">2025-10-29T05:51:47Z</dcterms:modified>
  <dc:title>杭银理财幸福99零钱包理财D款合同</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06A49D61929F4201B4ADB8DA4C945300</vt:lpwstr>
  </property>
</Properties>
</file>