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outlineLvl w:val="0"/>
        <w:rPr>
          <w:rFonts w:hint="eastAsia" w:ascii="宋体" w:hAnsi="宋体" w:cs="宋体"/>
          <w:b/>
          <w:bCs/>
          <w:color w:val="000000"/>
          <w:sz w:val="44"/>
          <w:szCs w:val="44"/>
          <w:highlight w:val="none"/>
        </w:rPr>
      </w:pPr>
      <w:bookmarkStart w:id="0" w:name="_GoBack"/>
      <w:bookmarkEnd w:id="0"/>
      <w:r>
        <w:rPr>
          <w:rFonts w:hint="eastAsia" w:ascii="宋体" w:hAnsi="宋体" w:cs="宋体"/>
          <w:b/>
          <w:bCs/>
          <w:color w:val="000000"/>
          <w:sz w:val="44"/>
          <w:szCs w:val="44"/>
          <w:highlight w:val="none"/>
        </w:rPr>
        <w:t>杭银理财投资者权益须知</w:t>
      </w:r>
    </w:p>
    <w:p>
      <w:pPr>
        <w:jc w:val="center"/>
        <w:outlineLvl w:val="1"/>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3"/>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产品风险等级</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风险等级说明</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b/>
                <w:kern w:val="0"/>
                <w:sz w:val="24"/>
                <w:szCs w:val="20"/>
                <w:highlight w:val="none"/>
              </w:rPr>
            </w:pPr>
            <w:r>
              <w:rPr>
                <w:rFonts w:hint="eastAsia" w:ascii="宋体" w:hAnsi="宋体" w:cs="宋体"/>
                <w:b/>
                <w:kern w:val="0"/>
                <w:sz w:val="24"/>
                <w:szCs w:val="20"/>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kern w:val="0"/>
                <w:sz w:val="24"/>
                <w:szCs w:val="20"/>
                <w:highlight w:val="none"/>
              </w:rPr>
            </w:pPr>
            <w:r>
              <w:rPr>
                <w:rFonts w:hint="eastAsia" w:ascii="宋体" w:hAnsi="宋体" w:cs="宋体"/>
                <w:kern w:val="0"/>
                <w:sz w:val="24"/>
                <w:szCs w:val="20"/>
                <w:highlight w:val="none"/>
              </w:rPr>
              <w:t>R1</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Times New Roman"/>
                <w:kern w:val="0"/>
                <w:sz w:val="24"/>
                <w:szCs w:val="20"/>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宋体"/>
                <w:kern w:val="0"/>
                <w:sz w:val="24"/>
                <w:szCs w:val="20"/>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kern w:val="0"/>
                <w:sz w:val="24"/>
                <w:szCs w:val="20"/>
                <w:highlight w:val="none"/>
              </w:rPr>
            </w:pPr>
            <w:r>
              <w:rPr>
                <w:rFonts w:hint="eastAsia" w:ascii="宋体" w:hAnsi="宋体" w:cs="宋体"/>
                <w:kern w:val="0"/>
                <w:sz w:val="24"/>
                <w:szCs w:val="20"/>
                <w:highlight w:val="none"/>
              </w:rPr>
              <w:t>R2</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Times New Roman"/>
                <w:kern w:val="0"/>
                <w:sz w:val="24"/>
                <w:szCs w:val="20"/>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宋体"/>
                <w:kern w:val="0"/>
                <w:sz w:val="24"/>
                <w:szCs w:val="20"/>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kern w:val="0"/>
                <w:sz w:val="24"/>
                <w:szCs w:val="20"/>
                <w:highlight w:val="none"/>
              </w:rPr>
            </w:pPr>
            <w:r>
              <w:rPr>
                <w:rFonts w:hint="eastAsia" w:ascii="宋体" w:hAnsi="宋体" w:cs="宋体"/>
                <w:kern w:val="0"/>
                <w:sz w:val="24"/>
                <w:szCs w:val="20"/>
                <w:highlight w:val="none"/>
              </w:rPr>
              <w:t>R3</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Times New Roman"/>
                <w:kern w:val="0"/>
                <w:sz w:val="24"/>
                <w:szCs w:val="20"/>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宋体"/>
                <w:kern w:val="0"/>
                <w:sz w:val="24"/>
                <w:szCs w:val="20"/>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kern w:val="0"/>
                <w:sz w:val="24"/>
                <w:szCs w:val="20"/>
                <w:highlight w:val="none"/>
              </w:rPr>
            </w:pPr>
            <w:r>
              <w:rPr>
                <w:rFonts w:hint="eastAsia" w:ascii="宋体" w:hAnsi="宋体" w:cs="宋体"/>
                <w:kern w:val="0"/>
                <w:sz w:val="24"/>
                <w:szCs w:val="20"/>
                <w:highlight w:val="none"/>
              </w:rPr>
              <w:t>R4</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Times New Roman"/>
                <w:kern w:val="0"/>
                <w:sz w:val="24"/>
                <w:szCs w:val="20"/>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宋体"/>
                <w:kern w:val="0"/>
                <w:sz w:val="24"/>
                <w:szCs w:val="20"/>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宋体" w:hAnsi="宋体" w:cs="宋体"/>
                <w:kern w:val="0"/>
                <w:sz w:val="24"/>
                <w:szCs w:val="20"/>
                <w:highlight w:val="none"/>
              </w:rPr>
            </w:pPr>
            <w:r>
              <w:rPr>
                <w:rFonts w:hint="eastAsia" w:ascii="宋体" w:hAnsi="宋体" w:cs="宋体"/>
                <w:kern w:val="0"/>
                <w:sz w:val="24"/>
                <w:szCs w:val="20"/>
                <w:highlight w:val="none"/>
              </w:rPr>
              <w:t>R5</w:t>
            </w:r>
          </w:p>
        </w:tc>
        <w:tc>
          <w:tcPr>
            <w:tcW w:w="428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Times New Roman"/>
                <w:kern w:val="0"/>
                <w:sz w:val="24"/>
                <w:szCs w:val="20"/>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hint="eastAsia" w:ascii="宋体" w:hAnsi="宋体" w:cs="宋体"/>
                <w:kern w:val="0"/>
                <w:sz w:val="24"/>
                <w:szCs w:val="20"/>
                <w:highlight w:val="none"/>
              </w:rPr>
            </w:pPr>
            <w:r>
              <w:rPr>
                <w:rFonts w:hint="eastAsia" w:ascii="宋体" w:hAnsi="宋体" w:cs="宋体"/>
                <w:kern w:val="0"/>
                <w:sz w:val="24"/>
                <w:szCs w:val="20"/>
                <w:highlight w:val="none"/>
              </w:rPr>
              <w:t>机构投资者及进取型的个人投资者</w:t>
            </w:r>
          </w:p>
        </w:tc>
      </w:tr>
    </w:tbl>
    <w:p>
      <w:pPr>
        <w:pStyle w:val="15"/>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4"/>
        </w:numPr>
        <w:spacing w:line="360" w:lineRule="auto"/>
        <w:outlineLvl w:val="2"/>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2"/>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2"/>
          <w:rFonts w:hint="eastAsia" w:ascii="宋体" w:hAnsi="宋体" w:cs="宋体"/>
          <w:color w:val="auto"/>
          <w:kern w:val="0"/>
          <w:sz w:val="24"/>
          <w:szCs w:val="22"/>
          <w:highlight w:val="none"/>
          <w:u w:val="none"/>
          <w:lang w:val="en-US" w:eastAsia="zh-CN"/>
        </w:rPr>
        <w:t>www.hzbankwealth.com.cn</w:t>
      </w:r>
    </w:p>
    <w:p>
      <w:pPr>
        <w:numPr>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2"/>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0"/>
        <w:rPr>
          <w:rFonts w:hint="eastAsia"/>
          <w:b/>
          <w:sz w:val="44"/>
          <w:szCs w:val="44"/>
          <w:highlight w:val="none"/>
        </w:rPr>
      </w:pPr>
      <w:r>
        <w:rPr>
          <w:rFonts w:hint="eastAsia"/>
          <w:b/>
          <w:sz w:val="44"/>
          <w:szCs w:val="44"/>
          <w:highlight w:val="none"/>
        </w:rPr>
        <w:t>杭银理财理财计划投资协议书</w:t>
      </w:r>
    </w:p>
    <w:p>
      <w:pPr>
        <w:jc w:val="center"/>
        <w:outlineLvl w:val="1"/>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outlineLvl w:val="2"/>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10"/>
        </w:numPr>
        <w:spacing w:line="360" w:lineRule="auto"/>
        <w:ind w:firstLine="482" w:firstLineChars="200"/>
        <w:outlineLvl w:val="2"/>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10"/>
        </w:numPr>
        <w:spacing w:line="360" w:lineRule="auto"/>
        <w:ind w:firstLine="482" w:firstLineChars="200"/>
        <w:outlineLvl w:val="2"/>
        <w:rPr>
          <w:rFonts w:hint="eastAsia"/>
          <w:b/>
          <w:sz w:val="24"/>
          <w:highlight w:val="none"/>
        </w:rPr>
      </w:pPr>
      <w:r>
        <w:rPr>
          <w:rFonts w:hint="eastAsia"/>
          <w:b/>
          <w:sz w:val="24"/>
          <w:highlight w:val="none"/>
        </w:rPr>
        <w:t>投资者权利与义务</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11"/>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10"/>
        </w:numPr>
        <w:spacing w:line="360" w:lineRule="auto"/>
        <w:ind w:firstLine="482" w:firstLineChars="200"/>
        <w:outlineLvl w:val="2"/>
        <w:rPr>
          <w:rFonts w:hint="eastAsia"/>
          <w:b/>
          <w:sz w:val="24"/>
          <w:highlight w:val="none"/>
        </w:rPr>
      </w:pPr>
      <w:r>
        <w:rPr>
          <w:rFonts w:hint="eastAsia"/>
          <w:b/>
          <w:sz w:val="24"/>
          <w:highlight w:val="none"/>
        </w:rPr>
        <w:t>管理人权利与义务</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12"/>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12"/>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10"/>
        </w:numPr>
        <w:spacing w:line="360" w:lineRule="auto"/>
        <w:ind w:firstLine="482" w:firstLineChars="200"/>
        <w:outlineLvl w:val="2"/>
        <w:rPr>
          <w:rFonts w:hint="eastAsia"/>
          <w:b/>
          <w:sz w:val="24"/>
          <w:highlight w:val="none"/>
        </w:rPr>
      </w:pPr>
      <w:r>
        <w:rPr>
          <w:rFonts w:hint="eastAsia"/>
          <w:b/>
          <w:sz w:val="24"/>
          <w:highlight w:val="none"/>
        </w:rPr>
        <w:t>理财计划认（申）购、赎回及终止</w:t>
      </w:r>
    </w:p>
    <w:p>
      <w:pPr>
        <w:widowControl/>
        <w:numPr>
          <w:ilvl w:val="0"/>
          <w:numId w:val="13"/>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13"/>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13"/>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13"/>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13"/>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13"/>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10"/>
        </w:numPr>
        <w:spacing w:line="360" w:lineRule="auto"/>
        <w:ind w:firstLine="482" w:firstLineChars="200"/>
        <w:outlineLvl w:val="2"/>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10"/>
        </w:numPr>
        <w:spacing w:line="360" w:lineRule="auto"/>
        <w:ind w:firstLine="482" w:firstLineChars="200"/>
        <w:outlineLvl w:val="2"/>
        <w:rPr>
          <w:rFonts w:hint="eastAsia"/>
          <w:b/>
          <w:sz w:val="24"/>
          <w:highlight w:val="none"/>
        </w:rPr>
      </w:pPr>
      <w:r>
        <w:rPr>
          <w:rFonts w:hint="eastAsia"/>
          <w:b/>
          <w:sz w:val="24"/>
          <w:highlight w:val="none"/>
        </w:rPr>
        <w:t>违约责任及免责条款</w:t>
      </w:r>
    </w:p>
    <w:p>
      <w:pPr>
        <w:widowControl/>
        <w:numPr>
          <w:ilvl w:val="0"/>
          <w:numId w:val="14"/>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14"/>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14"/>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14"/>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14"/>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14"/>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10"/>
        </w:numPr>
        <w:spacing w:line="360" w:lineRule="auto"/>
        <w:ind w:firstLine="482" w:firstLineChars="200"/>
        <w:outlineLvl w:val="2"/>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10"/>
        </w:numPr>
        <w:spacing w:line="360" w:lineRule="auto"/>
        <w:ind w:firstLine="482" w:firstLineChars="200"/>
        <w:outlineLvl w:val="2"/>
        <w:rPr>
          <w:rFonts w:hint="eastAsia"/>
          <w:b/>
          <w:sz w:val="24"/>
          <w:highlight w:val="none"/>
        </w:rPr>
      </w:pPr>
      <w:r>
        <w:rPr>
          <w:rFonts w:hint="eastAsia"/>
          <w:b/>
          <w:sz w:val="24"/>
          <w:highlight w:val="none"/>
        </w:rPr>
        <w:t>协议生效和终止</w:t>
      </w:r>
    </w:p>
    <w:p>
      <w:pPr>
        <w:widowControl/>
        <w:numPr>
          <w:ilvl w:val="0"/>
          <w:numId w:val="15"/>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15"/>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15"/>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15"/>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10"/>
        </w:numPr>
        <w:spacing w:line="360" w:lineRule="auto"/>
        <w:ind w:firstLine="482" w:firstLineChars="200"/>
        <w:outlineLvl w:val="2"/>
        <w:rPr>
          <w:b/>
          <w:sz w:val="24"/>
          <w:highlight w:val="none"/>
        </w:rPr>
      </w:pPr>
      <w:r>
        <w:rPr>
          <w:rFonts w:hint="eastAsia"/>
          <w:b/>
          <w:sz w:val="24"/>
          <w:highlight w:val="none"/>
        </w:rPr>
        <w:t>附则</w:t>
      </w:r>
    </w:p>
    <w:p>
      <w:pPr>
        <w:widowControl/>
        <w:numPr>
          <w:ilvl w:val="0"/>
          <w:numId w:val="16"/>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16"/>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16"/>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10"/>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Lines="50"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黑体"/>
        <w:kern w:val="2"/>
        <w:sz w:val="18"/>
        <w:szCs w:val="24"/>
        <w:lang w:val="en-US" w:eastAsia="zh-CN" w:bidi="ar-SA"/>
      </w:rPr>
      <w:pict>
        <v:rect id="文本框 1"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Bdr>
        <w:bottom w:val="single" w:color="auto" w:sz="4" w:space="1"/>
      </w:pBdr>
    </w:pPr>
    <w:r>
      <w:rPr>
        <w:rFonts w:hint="eastAsia"/>
        <w:b/>
        <w:bCs/>
      </w:rPr>
      <w:t>理财非存款 产品有风险 投资须谨慎</w:t>
    </w:r>
    <w:r>
      <w:rPr>
        <w:rFonts w:ascii="Calibri" w:hAnsi="Calibri" w:eastAsia="宋体" w:cs="黑体"/>
        <w:b/>
        <w:bCs/>
        <w:kern w:val="2"/>
        <w:sz w:val="18"/>
        <w:szCs w:val="24"/>
        <w:lang w:val="en-US" w:eastAsia="zh-CN" w:bidi="ar-SA"/>
      </w:rPr>
      <w:pict>
        <v:shape id="图片 2" o:spid="_x0000_s1025" type="#_x0000_t75" style="position:absolute;left:0;margin-left:403.2pt;margin-top:-43.55pt;height:72.2pt;width:102.1pt;mso-wrap-distance-left:9pt;mso-wrap-distance-right:9pt;rotation:0f;z-index:-251657216;" o:ole="f" fillcolor="#FFFFFF" filled="f" o:preferrelative="t" stroked="f" coordorigin="0,0" coordsize="21600,21600" wrapcoords="21591 -2 0 0 0 21600 21591 21602 8 21602 21599 21600 21599 0 8 -2 21591 -2">
          <v:fill on="f" color2="#FFFFFF" focus="0%"/>
          <v:imagedata gain="65536f" blacklevel="0f" gamma="0" o:title="" r:id="rId1"/>
          <o:lock v:ext="edit" position="f" selection="f" grouping="f" rotation="f" cropping="f" text="f" aspectratio="t"/>
          <w10:wrap type="through"/>
        </v:shape>
      </w:pic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3210258">
    <w:nsid w:val="60C03912"/>
    <w:multiLevelType w:val="singleLevel"/>
    <w:tmpl w:val="60C03912"/>
    <w:lvl w:ilvl="0" w:tentative="1">
      <w:start w:val="1"/>
      <w:numFmt w:val="chineseCounting"/>
      <w:suff w:val="nothing"/>
      <w:lvlText w:val="（%1）"/>
      <w:lvlJc w:val="left"/>
      <w:pPr>
        <w:ind w:left="0" w:firstLine="420"/>
      </w:pPr>
      <w:rPr>
        <w:rFonts w:hint="eastAsia"/>
      </w:rPr>
    </w:lvl>
  </w:abstractNum>
  <w:abstractNum w:abstractNumId="1623211851">
    <w:nsid w:val="60C03F4B"/>
    <w:multiLevelType w:val="singleLevel"/>
    <w:tmpl w:val="60C03F4B"/>
    <w:lvl w:ilvl="0" w:tentative="1">
      <w:start w:val="1"/>
      <w:numFmt w:val="chineseCounting"/>
      <w:suff w:val="nothing"/>
      <w:lvlText w:val="（%1）"/>
      <w:lvlJc w:val="left"/>
      <w:pPr>
        <w:ind w:left="0" w:firstLine="420"/>
      </w:pPr>
      <w:rPr>
        <w:rFonts w:hint="eastAsia"/>
      </w:rPr>
    </w:lvl>
  </w:abstractNum>
  <w:abstractNum w:abstractNumId="2961319663">
    <w:nsid w:val="B08226EF"/>
    <w:multiLevelType w:val="singleLevel"/>
    <w:tmpl w:val="B08226EF"/>
    <w:lvl w:ilvl="0" w:tentative="1">
      <w:start w:val="1"/>
      <w:numFmt w:val="chineseCounting"/>
      <w:suff w:val="space"/>
      <w:lvlText w:val="第%1条"/>
      <w:lvlJc w:val="left"/>
      <w:rPr>
        <w:rFonts w:hint="eastAsia"/>
      </w:rPr>
    </w:lvl>
  </w:abstractNum>
  <w:abstractNum w:abstractNumId="1012206356">
    <w:nsid w:val="3C550B14"/>
    <w:multiLevelType w:val="singleLevel"/>
    <w:tmpl w:val="3C550B14"/>
    <w:lvl w:ilvl="0" w:tentative="1">
      <w:start w:val="1"/>
      <w:numFmt w:val="decimal"/>
      <w:suff w:val="nothing"/>
      <w:lvlText w:val="%1．"/>
      <w:lvlJc w:val="left"/>
      <w:pPr>
        <w:ind w:left="0" w:firstLine="400"/>
      </w:pPr>
      <w:rPr>
        <w:rFonts w:hint="default"/>
      </w:rPr>
    </w:lvl>
  </w:abstractNum>
  <w:abstractNum w:abstractNumId="1623210044">
    <w:nsid w:val="60C0383C"/>
    <w:multiLevelType w:val="singleLevel"/>
    <w:tmpl w:val="60C0383C"/>
    <w:lvl w:ilvl="0" w:tentative="1">
      <w:start w:val="1"/>
      <w:numFmt w:val="chineseCounting"/>
      <w:suff w:val="nothing"/>
      <w:lvlText w:val="（%1）"/>
      <w:lvlJc w:val="left"/>
      <w:pPr>
        <w:ind w:left="0" w:firstLine="420"/>
      </w:pPr>
      <w:rPr>
        <w:rFonts w:hint="eastAsia"/>
      </w:rPr>
    </w:lvl>
  </w:abstractNum>
  <w:abstractNum w:abstractNumId="1623210113">
    <w:nsid w:val="60C03881"/>
    <w:multiLevelType w:val="singleLevel"/>
    <w:tmpl w:val="60C03881"/>
    <w:lvl w:ilvl="0" w:tentative="1">
      <w:start w:val="1"/>
      <w:numFmt w:val="chineseCounting"/>
      <w:suff w:val="nothing"/>
      <w:lvlText w:val="（%1）"/>
      <w:lvlJc w:val="left"/>
      <w:pPr>
        <w:ind w:left="0" w:firstLine="420"/>
      </w:pPr>
      <w:rPr>
        <w:rFonts w:hint="eastAsia"/>
      </w:rPr>
    </w:lvl>
  </w:abstractNum>
  <w:abstractNum w:abstractNumId="1623210176">
    <w:nsid w:val="60C038C0"/>
    <w:multiLevelType w:val="singleLevel"/>
    <w:tmpl w:val="60C038C0"/>
    <w:lvl w:ilvl="0" w:tentative="1">
      <w:start w:val="1"/>
      <w:numFmt w:val="chineseCounting"/>
      <w:suff w:val="nothing"/>
      <w:lvlText w:val="（%1）"/>
      <w:lvlJc w:val="left"/>
      <w:pPr>
        <w:ind w:left="0" w:firstLine="420"/>
      </w:pPr>
      <w:rPr>
        <w:rFonts w:hint="eastAsia"/>
      </w:rPr>
    </w:lvl>
  </w:abstractNum>
  <w:abstractNum w:abstractNumId="1623210218">
    <w:nsid w:val="60C038EA"/>
    <w:multiLevelType w:val="singleLevel"/>
    <w:tmpl w:val="60C038EA"/>
    <w:lvl w:ilvl="0" w:tentative="1">
      <w:start w:val="1"/>
      <w:numFmt w:val="chineseCounting"/>
      <w:suff w:val="nothing"/>
      <w:lvlText w:val="（%1）"/>
      <w:lvlJc w:val="left"/>
      <w:pPr>
        <w:ind w:left="0" w:firstLine="420"/>
      </w:pPr>
      <w:rPr>
        <w:rFonts w:hint="eastAsia"/>
      </w:rPr>
    </w:lvl>
  </w:abstractNum>
  <w:abstractNum w:abstractNumId="1623210291">
    <w:nsid w:val="60C03933"/>
    <w:multiLevelType w:val="singleLevel"/>
    <w:tmpl w:val="60C03933"/>
    <w:lvl w:ilvl="0" w:tentative="1">
      <w:start w:val="1"/>
      <w:numFmt w:val="chineseCounting"/>
      <w:suff w:val="nothing"/>
      <w:lvlText w:val="（%1）"/>
      <w:lvlJc w:val="left"/>
      <w:pPr>
        <w:ind w:left="0" w:firstLine="420"/>
      </w:pPr>
      <w:rPr>
        <w:rFonts w:hint="eastAsia"/>
      </w:rPr>
    </w:lvl>
  </w:abstractNum>
  <w:abstractNum w:abstractNumId="1623211583">
    <w:nsid w:val="60C03E3F"/>
    <w:multiLevelType w:val="singleLevel"/>
    <w:tmpl w:val="60C03E3F"/>
    <w:lvl w:ilvl="0" w:tentative="1">
      <w:start w:val="1"/>
      <w:numFmt w:val="chineseCounting"/>
      <w:suff w:val="nothing"/>
      <w:lvlText w:val="（%1）"/>
      <w:lvlJc w:val="left"/>
      <w:pPr>
        <w:ind w:left="0" w:firstLine="420"/>
      </w:pPr>
      <w:rPr>
        <w:rFonts w:hint="eastAsia"/>
      </w:rPr>
    </w:lvl>
  </w:abstractNum>
  <w:abstractNum w:abstractNumId="1623211638">
    <w:nsid w:val="60C03E76"/>
    <w:multiLevelType w:val="singleLevel"/>
    <w:tmpl w:val="60C03E76"/>
    <w:lvl w:ilvl="0" w:tentative="1">
      <w:start w:val="1"/>
      <w:numFmt w:val="chineseCounting"/>
      <w:suff w:val="nothing"/>
      <w:lvlText w:val="%1、"/>
      <w:lvlJc w:val="left"/>
      <w:pPr>
        <w:ind w:left="0" w:firstLine="420"/>
      </w:pPr>
      <w:rPr>
        <w:rFonts w:hint="eastAsia"/>
      </w:rPr>
    </w:lvl>
  </w:abstractNum>
  <w:abstractNum w:abstractNumId="1623211665">
    <w:nsid w:val="60C03E91"/>
    <w:multiLevelType w:val="singleLevel"/>
    <w:tmpl w:val="60C03E91"/>
    <w:lvl w:ilvl="0" w:tentative="1">
      <w:start w:val="2"/>
      <w:numFmt w:val="chineseCounting"/>
      <w:suff w:val="nothing"/>
      <w:lvlText w:val="%1、"/>
      <w:lvlJc w:val="left"/>
      <w:pPr>
        <w:ind w:left="0" w:firstLine="420"/>
      </w:pPr>
      <w:rPr>
        <w:rFonts w:hint="eastAsia"/>
      </w:rPr>
    </w:lvl>
  </w:abstractNum>
  <w:abstractNum w:abstractNumId="1623211715">
    <w:nsid w:val="60C03EC3"/>
    <w:multiLevelType w:val="singleLevel"/>
    <w:tmpl w:val="60C03EC3"/>
    <w:lvl w:ilvl="0" w:tentative="1">
      <w:start w:val="3"/>
      <w:numFmt w:val="chineseCounting"/>
      <w:suff w:val="nothing"/>
      <w:lvlText w:val="%1、"/>
      <w:lvlJc w:val="left"/>
      <w:pPr>
        <w:ind w:left="0" w:firstLine="420"/>
      </w:pPr>
      <w:rPr>
        <w:rFonts w:hint="eastAsia"/>
      </w:rPr>
    </w:lvl>
  </w:abstractNum>
  <w:abstractNum w:abstractNumId="1623211735">
    <w:nsid w:val="60C03ED7"/>
    <w:multiLevelType w:val="singleLevel"/>
    <w:tmpl w:val="60C03ED7"/>
    <w:lvl w:ilvl="0" w:tentative="1">
      <w:start w:val="1"/>
      <w:numFmt w:val="chineseCounting"/>
      <w:suff w:val="nothing"/>
      <w:lvlText w:val="（%1）"/>
      <w:lvlJc w:val="left"/>
      <w:pPr>
        <w:ind w:left="0" w:firstLine="420"/>
      </w:pPr>
      <w:rPr>
        <w:rFonts w:hint="eastAsia"/>
      </w:rPr>
    </w:lvl>
  </w:abstractNum>
  <w:abstractNum w:abstractNumId="1623211781">
    <w:nsid w:val="60C03F05"/>
    <w:multiLevelType w:val="singleLevel"/>
    <w:tmpl w:val="60C03F05"/>
    <w:lvl w:ilvl="0" w:tentative="1">
      <w:start w:val="1"/>
      <w:numFmt w:val="decimal"/>
      <w:suff w:val="nothing"/>
      <w:lvlText w:val="%1．"/>
      <w:lvlJc w:val="left"/>
      <w:pPr>
        <w:ind w:left="0" w:firstLine="400"/>
      </w:pPr>
      <w:rPr>
        <w:rFonts w:hint="default"/>
      </w:rPr>
    </w:lvl>
  </w:abstractNum>
  <w:abstractNum w:abstractNumId="1623211822">
    <w:nsid w:val="60C03F2E"/>
    <w:multiLevelType w:val="singleLevel"/>
    <w:tmpl w:val="60C03F2E"/>
    <w:lvl w:ilvl="0" w:tentative="1">
      <w:start w:val="4"/>
      <w:numFmt w:val="chineseCounting"/>
      <w:suff w:val="nothing"/>
      <w:lvlText w:val="（%1）"/>
      <w:lvlJc w:val="left"/>
      <w:pPr>
        <w:ind w:left="0" w:firstLine="420"/>
      </w:pPr>
      <w:rPr>
        <w:rFonts w:hint="eastAsia"/>
      </w:rPr>
    </w:lvl>
  </w:abstractNum>
  <w:num w:numId="1">
    <w:abstractNumId w:val="1623211638"/>
  </w:num>
  <w:num w:numId="2">
    <w:abstractNumId w:val="1623211583"/>
  </w:num>
  <w:num w:numId="3">
    <w:abstractNumId w:val="1623211665"/>
  </w:num>
  <w:num w:numId="4">
    <w:abstractNumId w:val="1623211715"/>
  </w:num>
  <w:num w:numId="5">
    <w:abstractNumId w:val="1623211735"/>
  </w:num>
  <w:num w:numId="6">
    <w:abstractNumId w:val="1623211781"/>
  </w:num>
  <w:num w:numId="7">
    <w:abstractNumId w:val="1623211822"/>
  </w:num>
  <w:num w:numId="8">
    <w:abstractNumId w:val="1623211851"/>
  </w:num>
  <w:num w:numId="9">
    <w:abstractNumId w:val="1012206356"/>
  </w:num>
  <w:num w:numId="10">
    <w:abstractNumId w:val="2961319663"/>
  </w:num>
  <w:num w:numId="11">
    <w:abstractNumId w:val="1623210044"/>
  </w:num>
  <w:num w:numId="12">
    <w:abstractNumId w:val="1623210113"/>
  </w:num>
  <w:num w:numId="13">
    <w:abstractNumId w:val="1623210176"/>
  </w:num>
  <w:num w:numId="14">
    <w:abstractNumId w:val="1623210218"/>
  </w:num>
  <w:num w:numId="15">
    <w:abstractNumId w:val="1623210258"/>
  </w:num>
  <w:num w:numId="16">
    <w:abstractNumId w:val="16232102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M5ZjUwYzE3NDdkZDY1ZTUwZTQwZTM5ODM0MmI1ZGMifQ=="/>
    <w:docVar w:name="KSO_WPS_MARK_KEY" w:val="7d0c4fc6-43cc-4bf7-81fa-344b25226340"/>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5"/>
    <w:qFormat/>
    <w:uiPriority w:val="0"/>
    <w:pPr>
      <w:keepNext/>
      <w:keepLines/>
      <w:spacing w:before="100" w:beforeAutospacing="0" w:after="90" w:afterAutospacing="0" w:line="240" w:lineRule="auto"/>
      <w:jc w:val="center"/>
      <w:outlineLvl w:val="0"/>
    </w:pPr>
    <w:rPr>
      <w:rFonts w:eastAsia="宋体"/>
      <w:b/>
      <w:kern w:val="44"/>
      <w:sz w:val="44"/>
    </w:rPr>
  </w:style>
  <w:style w:type="paragraph" w:styleId="3">
    <w:name w:val="heading 2"/>
    <w:basedOn w:val="1"/>
    <w:next w:val="1"/>
    <w:link w:val="23"/>
    <w:semiHidden/>
    <w:unhideWhenUsed/>
    <w:qFormat/>
    <w:uiPriority w:val="0"/>
    <w:pPr>
      <w:keepNext/>
      <w:keepLines/>
      <w:spacing w:before="20" w:beforeAutospacing="0" w:after="20" w:afterAutospacing="0" w:line="240" w:lineRule="auto"/>
      <w:outlineLvl w:val="1"/>
    </w:pPr>
    <w:rPr>
      <w:rFonts w:ascii="Arial" w:hAnsi="Arial" w:eastAsia="宋体"/>
      <w:b/>
      <w:sz w:val="24"/>
    </w:rPr>
  </w:style>
  <w:style w:type="paragraph" w:styleId="4">
    <w:name w:val="heading 3"/>
    <w:basedOn w:val="1"/>
    <w:next w:val="1"/>
    <w:link w:val="24"/>
    <w:semiHidden/>
    <w:unhideWhenUsed/>
    <w:qFormat/>
    <w:uiPriority w:val="0"/>
    <w:pPr>
      <w:keepNext/>
      <w:keepLines/>
      <w:spacing w:before="20" w:beforeAutospacing="0" w:after="20" w:afterAutospacing="0" w:line="360" w:lineRule="auto"/>
      <w:outlineLvl w:val="2"/>
    </w:pPr>
    <w:rPr>
      <w:rFonts w:hAnsi="Calibri" w:eastAsia="宋体"/>
      <w:b/>
      <w:sz w:val="24"/>
    </w:rPr>
  </w:style>
  <w:style w:type="character" w:default="1" w:styleId="11">
    <w:name w:val="Default Paragraph Font"/>
    <w:semiHidden/>
    <w:qFormat/>
    <w:uiPriority w:val="0"/>
  </w:style>
  <w:style w:type="paragraph" w:styleId="5">
    <w:name w:val="annotation subject"/>
    <w:basedOn w:val="6"/>
    <w:next w:val="6"/>
    <w:link w:val="21"/>
    <w:uiPriority w:val="0"/>
    <w:rPr>
      <w:b/>
      <w:bCs/>
    </w:rPr>
  </w:style>
  <w:style w:type="paragraph" w:styleId="6">
    <w:name w:val="annotation text"/>
    <w:basedOn w:val="1"/>
    <w:link w:val="20"/>
    <w:qFormat/>
    <w:uiPriority w:val="0"/>
    <w:pPr>
      <w:jc w:val="left"/>
    </w:p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character" w:styleId="12">
    <w:name w:val="Hyperlink"/>
    <w:qFormat/>
    <w:uiPriority w:val="0"/>
    <w:rPr>
      <w:color w:val="0000FF"/>
      <w:u w:val="single"/>
    </w:rPr>
  </w:style>
  <w:style w:type="character" w:styleId="13">
    <w:name w:val="annotation reference"/>
    <w:uiPriority w:val="0"/>
    <w:rPr>
      <w:sz w:val="21"/>
      <w:szCs w:val="21"/>
    </w:rPr>
  </w:style>
  <w:style w:type="paragraph" w:customStyle="1" w:styleId="14">
    <w:name w:val="List Paragraph"/>
    <w:basedOn w:val="1"/>
    <w:unhideWhenUsed/>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样式1"/>
    <w:basedOn w:val="1"/>
    <w:next w:val="1"/>
    <w:qFormat/>
    <w:uiPriority w:val="0"/>
    <w:pPr>
      <w:keepNext/>
      <w:keepLines/>
      <w:spacing w:before="340" w:after="330" w:line="576" w:lineRule="auto"/>
      <w:outlineLvl w:val="0"/>
    </w:pPr>
    <w:rPr>
      <w:rFonts w:hint="eastAsia"/>
      <w:b/>
      <w:kern w:val="44"/>
      <w:sz w:val="44"/>
    </w:rPr>
  </w:style>
  <w:style w:type="character" w:customStyle="1" w:styleId="17">
    <w:name w:val="批注文字 字符"/>
    <w:link w:val="6"/>
    <w:qFormat/>
    <w:uiPriority w:val="0"/>
    <w:rPr>
      <w:rFonts w:ascii="Calibri" w:hAnsi="Calibri" w:cs="黑体"/>
      <w:kern w:val="2"/>
      <w:sz w:val="21"/>
      <w:szCs w:val="24"/>
    </w:rPr>
  </w:style>
  <w:style w:type="character" w:customStyle="1" w:styleId="18">
    <w:name w:val="批注框文本 字符"/>
    <w:link w:val="7"/>
    <w:qFormat/>
    <w:uiPriority w:val="0"/>
    <w:rPr>
      <w:rFonts w:ascii="Calibri" w:hAnsi="Calibri" w:cs="黑体"/>
      <w:kern w:val="2"/>
      <w:sz w:val="18"/>
      <w:szCs w:val="18"/>
    </w:rPr>
  </w:style>
  <w:style w:type="character" w:customStyle="1" w:styleId="19">
    <w:name w:val="批注主题 字符"/>
    <w:link w:val="5"/>
    <w:uiPriority w:val="0"/>
    <w:rPr>
      <w:rFonts w:ascii="Calibri" w:hAnsi="Calibri" w:cs="黑体"/>
      <w:b/>
      <w:bCs/>
      <w:kern w:val="2"/>
      <w:sz w:val="21"/>
      <w:szCs w:val="24"/>
    </w:rPr>
  </w:style>
  <w:style w:type="character" w:customStyle="1" w:styleId="20">
    <w:name w:val="批注文字 Char"/>
    <w:link w:val="6"/>
    <w:qFormat/>
    <w:uiPriority w:val="0"/>
    <w:rPr>
      <w:rFonts w:ascii="Calibri" w:hAnsi="Calibri" w:cs="黑体"/>
      <w:kern w:val="2"/>
      <w:sz w:val="21"/>
      <w:szCs w:val="24"/>
    </w:rPr>
  </w:style>
  <w:style w:type="character" w:customStyle="1" w:styleId="21">
    <w:name w:val="批注主题 Char"/>
    <w:link w:val="5"/>
    <w:qFormat/>
    <w:uiPriority w:val="0"/>
    <w:rPr>
      <w:rFonts w:ascii="Calibri" w:hAnsi="Calibri" w:cs="黑体"/>
      <w:b/>
      <w:bCs/>
      <w:kern w:val="2"/>
      <w:sz w:val="21"/>
      <w:szCs w:val="24"/>
    </w:rPr>
  </w:style>
  <w:style w:type="character" w:customStyle="1" w:styleId="22">
    <w:name w:val="批注框文本 Char"/>
    <w:link w:val="7"/>
    <w:qFormat/>
    <w:uiPriority w:val="0"/>
    <w:rPr>
      <w:rFonts w:ascii="Calibri" w:hAnsi="Calibri" w:cs="黑体"/>
      <w:kern w:val="2"/>
      <w:sz w:val="18"/>
      <w:szCs w:val="18"/>
    </w:rPr>
  </w:style>
  <w:style w:type="character" w:customStyle="1" w:styleId="23">
    <w:name w:val="标题 2 Char"/>
    <w:link w:val="3"/>
    <w:qFormat/>
    <w:uiPriority w:val="0"/>
    <w:rPr>
      <w:rFonts w:ascii="Arial" w:hAnsi="Arial" w:eastAsia="宋体"/>
      <w:b/>
      <w:sz w:val="24"/>
    </w:rPr>
  </w:style>
  <w:style w:type="character" w:customStyle="1" w:styleId="24">
    <w:name w:val="标题 3 Char"/>
    <w:link w:val="4"/>
    <w:qFormat/>
    <w:uiPriority w:val="0"/>
    <w:rPr>
      <w:rFonts w:hAnsi="Calibri" w:eastAsia="宋体"/>
      <w:b/>
      <w:sz w:val="24"/>
    </w:rPr>
  </w:style>
  <w:style w:type="character" w:customStyle="1" w:styleId="25">
    <w:name w:val="标题 1 Char"/>
    <w:link w:val="2"/>
    <w:qFormat/>
    <w:uiPriority w:val="0"/>
    <w:rPr>
      <w:rFonts w:eastAsia="宋体"/>
      <w:b/>
      <w:kern w:val="44"/>
      <w:sz w:val="4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36479</Words>
  <Characters>38171</Characters>
  <Lines>1</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hccb</cp:lastModifiedBy>
  <dcterms:modified xsi:type="dcterms:W3CDTF">2026-01-30T02:08:10Z</dcterms:modified>
  <dc:title>杭银理财幸福99XXXX理财计划合同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624B283CBFC808CD5BC27A693BA5793C_43</vt:lpwstr>
  </property>
</Properties>
</file>