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ind w:left="0" w:leftChars="0"/>
        <w:jc w:val="center"/>
        <w:rPr>
          <w:rFonts w:hint="eastAsia" w:ascii="宋体" w:hAnsi="宋体" w:cs="宋体"/>
          <w:kern w:val="2"/>
          <w:sz w:val="28"/>
          <w:szCs w:val="28"/>
        </w:rPr>
      </w:pPr>
      <w:r>
        <w:rPr>
          <w:rFonts w:hint="eastAsia" w:ascii="宋体" w:hAnsi="宋体" w:cs="宋体"/>
          <w:kern w:val="2"/>
          <w:sz w:val="28"/>
          <w:szCs w:val="28"/>
        </w:rPr>
        <w:t>表格CCA：资本工具的主要特征</w:t>
      </w:r>
    </w:p>
    <w:tbl>
      <w:tblPr>
        <w:tblStyle w:val="3"/>
        <w:tblW w:w="11855" w:type="dxa"/>
        <w:jc w:val="center"/>
        <w:tblLayout w:type="fixed"/>
        <w:tblCellMar>
          <w:top w:w="0" w:type="dxa"/>
          <w:left w:w="108" w:type="dxa"/>
          <w:bottom w:w="0" w:type="dxa"/>
          <w:right w:w="108" w:type="dxa"/>
        </w:tblCellMar>
      </w:tblPr>
      <w:tblGrid>
        <w:gridCol w:w="596"/>
        <w:gridCol w:w="13"/>
        <w:gridCol w:w="2163"/>
        <w:gridCol w:w="1400"/>
        <w:gridCol w:w="1711"/>
        <w:gridCol w:w="1502"/>
        <w:gridCol w:w="1438"/>
        <w:gridCol w:w="1516"/>
        <w:gridCol w:w="1516"/>
      </w:tblGrid>
      <w:tr>
        <w:tblPrEx>
          <w:tblCellMar>
            <w:top w:w="0" w:type="dxa"/>
            <w:left w:w="108" w:type="dxa"/>
            <w:bottom w:w="0" w:type="dxa"/>
            <w:right w:w="108" w:type="dxa"/>
          </w:tblCellMar>
        </w:tblPrEx>
        <w:trPr>
          <w:trHeight w:val="414" w:hRule="atLeast"/>
          <w:jc w:val="center"/>
        </w:trPr>
        <w:tc>
          <w:tcPr>
            <w:tcW w:w="609" w:type="dxa"/>
            <w:gridSpan w:val="2"/>
            <w:tcBorders>
              <w:top w:val="single" w:color="000000" w:sz="4" w:space="0"/>
              <w:left w:val="single" w:color="000000" w:sz="4" w:space="0"/>
              <w:bottom w:val="single" w:color="000000" w:sz="4" w:space="0"/>
              <w:right w:val="single" w:color="000000" w:sz="4" w:space="0"/>
            </w:tcBorders>
          </w:tcPr>
          <w:p>
            <w:pPr>
              <w:widowControl/>
              <w:jc w:val="center"/>
              <w:textAlignment w:val="top"/>
              <w:rPr>
                <w:rFonts w:hint="eastAsia" w:ascii="宋体" w:hAnsi="宋体" w:cs="宋体"/>
                <w:kern w:val="2"/>
                <w:sz w:val="15"/>
                <w:szCs w:val="15"/>
              </w:rPr>
            </w:pPr>
            <w:r>
              <w:rPr>
                <w:rFonts w:hint="eastAsia" w:ascii="宋体" w:hAnsi="宋体" w:cs="宋体"/>
                <w:sz w:val="15"/>
                <w:szCs w:val="15"/>
                <w:lang w:bidi="ar"/>
              </w:rPr>
              <w:t>序号</w:t>
            </w:r>
          </w:p>
        </w:tc>
        <w:tc>
          <w:tcPr>
            <w:tcW w:w="216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资本工具的主要特征</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a</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b</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rPr>
            </w:pPr>
            <w:r>
              <w:rPr>
                <w:rFonts w:hint="eastAsia" w:ascii="宋体" w:hAnsi="宋体" w:cs="宋体"/>
                <w:sz w:val="15"/>
                <w:szCs w:val="15"/>
                <w:lang w:val="en-US" w:eastAsia="zh-CN" w:bidi="ar"/>
              </w:rPr>
              <w:t>c</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eastAsia="zh-CN"/>
              </w:rPr>
            </w:pPr>
            <w:r>
              <w:rPr>
                <w:rFonts w:hint="eastAsia" w:ascii="宋体" w:hAnsi="宋体" w:cs="宋体"/>
                <w:sz w:val="15"/>
                <w:szCs w:val="15"/>
                <w:lang w:val="en-US" w:eastAsia="zh-CN" w:bidi="ar"/>
              </w:rPr>
              <w:t>d</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eastAsia="zh-CN"/>
              </w:rPr>
            </w:pPr>
            <w:r>
              <w:rPr>
                <w:rFonts w:hint="eastAsia" w:ascii="宋体" w:hAnsi="宋体" w:cs="宋体"/>
                <w:sz w:val="15"/>
                <w:szCs w:val="15"/>
                <w:lang w:val="en-US" w:eastAsia="zh-CN" w:bidi="ar"/>
              </w:rPr>
              <w:t>e</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val="en-US" w:eastAsia="zh-CN" w:bidi="ar"/>
              </w:rPr>
              <w:t>f</w:t>
            </w:r>
          </w:p>
        </w:tc>
      </w:tr>
      <w:tr>
        <w:tblPrEx>
          <w:tblCellMar>
            <w:top w:w="0" w:type="dxa"/>
            <w:left w:w="108" w:type="dxa"/>
            <w:bottom w:w="0" w:type="dxa"/>
            <w:right w:w="108" w:type="dxa"/>
          </w:tblCellMar>
        </w:tblPrEx>
        <w:trPr>
          <w:trHeight w:val="816" w:hRule="atLeast"/>
          <w:jc w:val="center"/>
        </w:trPr>
        <w:tc>
          <w:tcPr>
            <w:tcW w:w="60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w:t>
            </w:r>
          </w:p>
        </w:tc>
        <w:tc>
          <w:tcPr>
            <w:tcW w:w="21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发行机构</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kern w:val="2"/>
                <w:sz w:val="15"/>
                <w:szCs w:val="15"/>
              </w:rPr>
              <w:t>青岛农村商业银行股份有限公司</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kern w:val="2"/>
                <w:sz w:val="15"/>
                <w:szCs w:val="15"/>
              </w:rPr>
              <w:t>青岛农村商业银行股份有限公司</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kern w:val="2"/>
                <w:sz w:val="15"/>
                <w:szCs w:val="15"/>
              </w:rPr>
              <w:t>青岛农村商业银行股份有限公司</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kern w:val="2"/>
                <w:sz w:val="15"/>
                <w:szCs w:val="15"/>
              </w:rPr>
              <w:t>青岛农村商业银行股份有限公司</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kern w:val="2"/>
                <w:sz w:val="15"/>
                <w:szCs w:val="15"/>
              </w:rPr>
              <w:t>青岛农村商业银行股份有限公司</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kern w:val="2"/>
                <w:sz w:val="15"/>
                <w:szCs w:val="15"/>
                <w:lang w:val="en-US" w:eastAsia="zh-CN"/>
              </w:rPr>
              <w:t>青</w:t>
            </w:r>
            <w:r>
              <w:rPr>
                <w:rFonts w:hint="eastAsia" w:ascii="宋体" w:hAnsi="宋体" w:cs="宋体"/>
                <w:kern w:val="2"/>
                <w:sz w:val="15"/>
                <w:szCs w:val="15"/>
              </w:rPr>
              <w:t>岛农村商业银行股份有限公司</w:t>
            </w:r>
          </w:p>
        </w:tc>
      </w:tr>
      <w:tr>
        <w:tblPrEx>
          <w:tblCellMar>
            <w:top w:w="0" w:type="dxa"/>
            <w:left w:w="108" w:type="dxa"/>
            <w:bottom w:w="0" w:type="dxa"/>
            <w:right w:w="108" w:type="dxa"/>
          </w:tblCellMar>
        </w:tblPrEx>
        <w:trPr>
          <w:trHeight w:val="417" w:hRule="atLeast"/>
          <w:jc w:val="center"/>
        </w:trPr>
        <w:tc>
          <w:tcPr>
            <w:tcW w:w="60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2</w:t>
            </w:r>
          </w:p>
        </w:tc>
        <w:tc>
          <w:tcPr>
            <w:tcW w:w="21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标识码</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002958</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128129</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2121009</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2121031</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宋体" w:hAnsi="宋体" w:eastAsia="宋体" w:cs="宋体"/>
                <w:kern w:val="2"/>
                <w:sz w:val="15"/>
                <w:szCs w:val="15"/>
                <w:lang w:val="en-US" w:eastAsia="zh-CN"/>
              </w:rPr>
            </w:pPr>
            <w:r>
              <w:rPr>
                <w:rFonts w:hint="eastAsia" w:ascii="宋体" w:hAnsi="宋体" w:cs="宋体"/>
                <w:sz w:val="15"/>
                <w:szCs w:val="15"/>
                <w:lang w:val="en-US" w:eastAsia="zh-CN" w:bidi="ar"/>
              </w:rPr>
              <w:t>232580019</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宋体" w:hAnsi="宋体" w:cs="宋体"/>
                <w:sz w:val="15"/>
                <w:szCs w:val="15"/>
                <w:lang w:val="en-US" w:eastAsia="zh-CN" w:bidi="ar"/>
              </w:rPr>
            </w:pPr>
            <w:r>
              <w:rPr>
                <w:rFonts w:hint="eastAsia" w:ascii="宋体" w:hAnsi="宋体" w:cs="宋体"/>
                <w:sz w:val="15"/>
                <w:szCs w:val="15"/>
                <w:lang w:val="en-US" w:eastAsia="zh-CN" w:bidi="ar"/>
              </w:rPr>
              <w:t>242580044</w:t>
            </w:r>
          </w:p>
        </w:tc>
      </w:tr>
      <w:tr>
        <w:tblPrEx>
          <w:tblCellMar>
            <w:top w:w="0" w:type="dxa"/>
            <w:left w:w="108" w:type="dxa"/>
            <w:bottom w:w="0" w:type="dxa"/>
            <w:right w:w="108" w:type="dxa"/>
          </w:tblCellMar>
        </w:tblPrEx>
        <w:trPr>
          <w:trHeight w:val="414" w:hRule="atLeast"/>
          <w:jc w:val="center"/>
        </w:trPr>
        <w:tc>
          <w:tcPr>
            <w:tcW w:w="60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3</w:t>
            </w:r>
          </w:p>
        </w:tc>
        <w:tc>
          <w:tcPr>
            <w:tcW w:w="21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适用法律</w:t>
            </w:r>
          </w:p>
        </w:tc>
        <w:tc>
          <w:tcPr>
            <w:tcW w:w="140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kern w:val="2"/>
                <w:sz w:val="15"/>
                <w:szCs w:val="15"/>
              </w:rPr>
            </w:pPr>
            <w:r>
              <w:rPr>
                <w:rFonts w:hint="eastAsia" w:ascii="宋体" w:hAnsi="宋体" w:cs="宋体"/>
                <w:kern w:val="2"/>
                <w:sz w:val="15"/>
                <w:szCs w:val="15"/>
              </w:rPr>
              <w:t>中国大陆</w:t>
            </w:r>
          </w:p>
        </w:tc>
        <w:tc>
          <w:tcPr>
            <w:tcW w:w="171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kern w:val="2"/>
                <w:sz w:val="15"/>
                <w:szCs w:val="15"/>
              </w:rPr>
            </w:pPr>
            <w:r>
              <w:rPr>
                <w:rFonts w:hint="eastAsia" w:ascii="宋体" w:hAnsi="宋体" w:cs="宋体"/>
                <w:kern w:val="2"/>
                <w:sz w:val="15"/>
                <w:szCs w:val="15"/>
              </w:rPr>
              <w:t>中国大陆</w:t>
            </w:r>
          </w:p>
        </w:tc>
        <w:tc>
          <w:tcPr>
            <w:tcW w:w="150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kern w:val="2"/>
                <w:sz w:val="15"/>
                <w:szCs w:val="15"/>
              </w:rPr>
            </w:pPr>
            <w:r>
              <w:rPr>
                <w:rFonts w:hint="eastAsia" w:ascii="宋体" w:hAnsi="宋体" w:cs="宋体"/>
                <w:kern w:val="2"/>
                <w:sz w:val="15"/>
                <w:szCs w:val="15"/>
              </w:rPr>
              <w:t>中国大陆</w:t>
            </w:r>
          </w:p>
        </w:tc>
        <w:tc>
          <w:tcPr>
            <w:tcW w:w="143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kern w:val="2"/>
                <w:sz w:val="15"/>
                <w:szCs w:val="15"/>
              </w:rPr>
            </w:pPr>
            <w:r>
              <w:rPr>
                <w:rFonts w:hint="eastAsia" w:ascii="宋体" w:hAnsi="宋体" w:cs="宋体"/>
                <w:kern w:val="2"/>
                <w:sz w:val="15"/>
                <w:szCs w:val="15"/>
              </w:rPr>
              <w:t>中国大陆</w:t>
            </w:r>
          </w:p>
        </w:tc>
        <w:tc>
          <w:tcPr>
            <w:tcW w:w="15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kern w:val="2"/>
                <w:sz w:val="15"/>
                <w:szCs w:val="15"/>
              </w:rPr>
            </w:pPr>
            <w:r>
              <w:rPr>
                <w:rFonts w:hint="eastAsia" w:ascii="宋体" w:hAnsi="宋体" w:cs="宋体"/>
                <w:kern w:val="2"/>
                <w:sz w:val="15"/>
                <w:szCs w:val="15"/>
              </w:rPr>
              <w:t>中国大陆</w:t>
            </w:r>
          </w:p>
        </w:tc>
        <w:tc>
          <w:tcPr>
            <w:tcW w:w="15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kern w:val="2"/>
                <w:sz w:val="15"/>
                <w:szCs w:val="15"/>
              </w:rPr>
            </w:pPr>
            <w:r>
              <w:rPr>
                <w:rFonts w:hint="eastAsia" w:ascii="宋体" w:hAnsi="宋体" w:cs="宋体"/>
                <w:kern w:val="2"/>
                <w:sz w:val="15"/>
                <w:szCs w:val="15"/>
              </w:rPr>
              <w:t>中国大陆</w:t>
            </w:r>
          </w:p>
        </w:tc>
      </w:tr>
      <w:tr>
        <w:tblPrEx>
          <w:tblCellMar>
            <w:top w:w="0" w:type="dxa"/>
            <w:left w:w="108" w:type="dxa"/>
            <w:bottom w:w="0" w:type="dxa"/>
            <w:right w:w="108" w:type="dxa"/>
          </w:tblCellMar>
        </w:tblPrEx>
        <w:trPr>
          <w:trHeight w:val="816" w:hRule="atLeast"/>
          <w:jc w:val="center"/>
        </w:trPr>
        <w:tc>
          <w:tcPr>
            <w:tcW w:w="60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4</w:t>
            </w:r>
          </w:p>
        </w:tc>
        <w:tc>
          <w:tcPr>
            <w:tcW w:w="21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资本层级</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核心一级资本</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转股后补充核心一级资本</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其他一级资本</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其他一级资本</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二级资本</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其他一级资本</w:t>
            </w:r>
          </w:p>
        </w:tc>
      </w:tr>
      <w:tr>
        <w:tblPrEx>
          <w:tblCellMar>
            <w:top w:w="0" w:type="dxa"/>
            <w:left w:w="108" w:type="dxa"/>
            <w:bottom w:w="0" w:type="dxa"/>
            <w:right w:w="108" w:type="dxa"/>
          </w:tblCellMar>
        </w:tblPrEx>
        <w:trPr>
          <w:trHeight w:val="816" w:hRule="atLeast"/>
          <w:jc w:val="center"/>
        </w:trPr>
        <w:tc>
          <w:tcPr>
            <w:tcW w:w="60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5</w:t>
            </w:r>
          </w:p>
        </w:tc>
        <w:tc>
          <w:tcPr>
            <w:tcW w:w="21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其中：适用法人/集团层面</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法人和集团</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法人和集团</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法人和集团</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法人和集团</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法人和集团</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法人和集团</w:t>
            </w:r>
          </w:p>
        </w:tc>
      </w:tr>
      <w:tr>
        <w:tblPrEx>
          <w:tblCellMar>
            <w:top w:w="0" w:type="dxa"/>
            <w:left w:w="108" w:type="dxa"/>
            <w:bottom w:w="0" w:type="dxa"/>
            <w:right w:w="108" w:type="dxa"/>
          </w:tblCellMar>
        </w:tblPrEx>
        <w:trPr>
          <w:trHeight w:val="816" w:hRule="atLeast"/>
          <w:jc w:val="center"/>
        </w:trPr>
        <w:tc>
          <w:tcPr>
            <w:tcW w:w="60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6</w:t>
            </w:r>
          </w:p>
        </w:tc>
        <w:tc>
          <w:tcPr>
            <w:tcW w:w="21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工具类型</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普通股</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可转换公司债券</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无固定期限资本债券</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无固定期限资本债券</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二级资本债</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无固定期限资本债券</w:t>
            </w:r>
          </w:p>
        </w:tc>
      </w:tr>
      <w:tr>
        <w:tblPrEx>
          <w:tblCellMar>
            <w:top w:w="0" w:type="dxa"/>
            <w:left w:w="108" w:type="dxa"/>
            <w:bottom w:w="0" w:type="dxa"/>
            <w:right w:w="108" w:type="dxa"/>
          </w:tblCellMar>
        </w:tblPrEx>
        <w:trPr>
          <w:trHeight w:val="1218" w:hRule="atLeast"/>
          <w:jc w:val="center"/>
        </w:trPr>
        <w:tc>
          <w:tcPr>
            <w:tcW w:w="609" w:type="dxa"/>
            <w:gridSpan w:val="2"/>
            <w:tcBorders>
              <w:top w:val="nil"/>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7</w:t>
            </w:r>
          </w:p>
        </w:tc>
        <w:tc>
          <w:tcPr>
            <w:tcW w:w="2163" w:type="dxa"/>
            <w:tcBorders>
              <w:top w:val="nil"/>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可计入监管资本的数额（最近一期报告日数额，单位：百万元人民币）</w:t>
            </w:r>
          </w:p>
        </w:tc>
        <w:tc>
          <w:tcPr>
            <w:tcW w:w="1400" w:type="dxa"/>
            <w:tcBorders>
              <w:top w:val="nil"/>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8,152</w:t>
            </w:r>
          </w:p>
        </w:tc>
        <w:tc>
          <w:tcPr>
            <w:tcW w:w="1711" w:type="dxa"/>
            <w:tcBorders>
              <w:top w:val="nil"/>
              <w:left w:val="single" w:color="000000" w:sz="4" w:space="0"/>
              <w:bottom w:val="single" w:color="000000" w:sz="4" w:space="0"/>
              <w:right w:val="single" w:color="000000" w:sz="4" w:space="0"/>
            </w:tcBorders>
            <w:vAlign w:val="center"/>
          </w:tcPr>
          <w:p>
            <w:pPr>
              <w:widowControl/>
              <w:ind w:right="-149" w:rightChars="-62"/>
              <w:jc w:val="center"/>
              <w:textAlignment w:val="center"/>
              <w:rPr>
                <w:rFonts w:hint="eastAsia" w:ascii="宋体" w:hAnsi="宋体" w:cs="宋体"/>
                <w:kern w:val="2"/>
                <w:sz w:val="15"/>
                <w:szCs w:val="15"/>
              </w:rPr>
            </w:pPr>
            <w:r>
              <w:rPr>
                <w:rFonts w:hint="eastAsia" w:ascii="宋体" w:hAnsi="宋体" w:cs="宋体"/>
                <w:sz w:val="15"/>
                <w:szCs w:val="15"/>
                <w:lang w:bidi="ar"/>
              </w:rPr>
              <w:t xml:space="preserve">479 </w:t>
            </w:r>
          </w:p>
        </w:tc>
        <w:tc>
          <w:tcPr>
            <w:tcW w:w="1502" w:type="dxa"/>
            <w:tcBorders>
              <w:top w:val="nil"/>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 xml:space="preserve">1,997 </w:t>
            </w:r>
          </w:p>
        </w:tc>
        <w:tc>
          <w:tcPr>
            <w:tcW w:w="1438" w:type="dxa"/>
            <w:tcBorders>
              <w:top w:val="nil"/>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999</w:t>
            </w:r>
          </w:p>
        </w:tc>
        <w:tc>
          <w:tcPr>
            <w:tcW w:w="1516" w:type="dxa"/>
            <w:tcBorders>
              <w:top w:val="nil"/>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 xml:space="preserve">2,000 </w:t>
            </w:r>
          </w:p>
        </w:tc>
        <w:tc>
          <w:tcPr>
            <w:tcW w:w="1516" w:type="dxa"/>
            <w:tcBorders>
              <w:top w:val="nil"/>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val="en-US" w:eastAsia="zh-CN" w:bidi="ar"/>
              </w:rPr>
              <w:t>4,997</w:t>
            </w:r>
          </w:p>
        </w:tc>
      </w:tr>
      <w:tr>
        <w:tblPrEx>
          <w:tblCellMar>
            <w:top w:w="0" w:type="dxa"/>
            <w:left w:w="108" w:type="dxa"/>
            <w:bottom w:w="0" w:type="dxa"/>
            <w:right w:w="108" w:type="dxa"/>
          </w:tblCellMar>
        </w:tblPrEx>
        <w:trPr>
          <w:trHeight w:val="816" w:hRule="atLeast"/>
          <w:jc w:val="center"/>
        </w:trPr>
        <w:tc>
          <w:tcPr>
            <w:tcW w:w="60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8</w:t>
            </w:r>
          </w:p>
        </w:tc>
        <w:tc>
          <w:tcPr>
            <w:tcW w:w="21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工具面值（单位：百万元人民币）</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 xml:space="preserve">5,556 </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 xml:space="preserve">5,000 </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 xml:space="preserve">2,000 </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 xml:space="preserve">1,000 </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 xml:space="preserve">2,000 </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0"/>
                <w:sz w:val="15"/>
                <w:szCs w:val="15"/>
                <w:lang w:val="en-US" w:eastAsia="zh-CN" w:bidi="ar"/>
              </w:rPr>
            </w:pPr>
            <w:r>
              <w:rPr>
                <w:rFonts w:hint="eastAsia" w:ascii="宋体" w:hAnsi="宋体" w:cs="宋体"/>
                <w:kern w:val="0"/>
                <w:sz w:val="15"/>
                <w:szCs w:val="15"/>
                <w:lang w:val="en-US" w:eastAsia="zh-CN" w:bidi="ar"/>
              </w:rPr>
              <w:t>5,000</w:t>
            </w:r>
          </w:p>
        </w:tc>
      </w:tr>
      <w:tr>
        <w:tblPrEx>
          <w:tblCellMar>
            <w:top w:w="0" w:type="dxa"/>
            <w:left w:w="108" w:type="dxa"/>
            <w:bottom w:w="0" w:type="dxa"/>
            <w:right w:w="108" w:type="dxa"/>
          </w:tblCellMar>
        </w:tblPrEx>
        <w:trPr>
          <w:trHeight w:val="816" w:hRule="atLeast"/>
          <w:jc w:val="center"/>
        </w:trPr>
        <w:tc>
          <w:tcPr>
            <w:tcW w:w="60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9</w:t>
            </w:r>
          </w:p>
        </w:tc>
        <w:tc>
          <w:tcPr>
            <w:tcW w:w="21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会计处理</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权益</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权益/以摊余成本计量的负债</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权益</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权益</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以摊余成本计量的负债</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权益</w:t>
            </w:r>
          </w:p>
        </w:tc>
      </w:tr>
      <w:tr>
        <w:tblPrEx>
          <w:tblCellMar>
            <w:top w:w="0" w:type="dxa"/>
            <w:left w:w="108" w:type="dxa"/>
            <w:bottom w:w="0" w:type="dxa"/>
            <w:right w:w="108" w:type="dxa"/>
          </w:tblCellMar>
        </w:tblPrEx>
        <w:trPr>
          <w:trHeight w:val="816" w:hRule="atLeast"/>
          <w:jc w:val="center"/>
        </w:trPr>
        <w:tc>
          <w:tcPr>
            <w:tcW w:w="60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10</w:t>
            </w:r>
          </w:p>
        </w:tc>
        <w:tc>
          <w:tcPr>
            <w:tcW w:w="21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初始发行日</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2019年3月16日</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2020年8月25日</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2021年3月25日</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2021年6月25日</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202</w:t>
            </w:r>
            <w:r>
              <w:rPr>
                <w:rFonts w:hint="eastAsia" w:ascii="宋体" w:hAnsi="宋体" w:cs="宋体"/>
                <w:sz w:val="15"/>
                <w:szCs w:val="15"/>
                <w:lang w:val="en-US" w:eastAsia="zh-CN" w:bidi="ar"/>
              </w:rPr>
              <w:t>5</w:t>
            </w:r>
            <w:r>
              <w:rPr>
                <w:rFonts w:hint="eastAsia" w:ascii="宋体" w:hAnsi="宋体" w:cs="宋体"/>
                <w:sz w:val="15"/>
                <w:szCs w:val="15"/>
                <w:lang w:bidi="ar"/>
              </w:rPr>
              <w:t>年6月</w:t>
            </w:r>
            <w:r>
              <w:rPr>
                <w:rFonts w:hint="eastAsia" w:ascii="宋体" w:hAnsi="宋体" w:cs="宋体"/>
                <w:sz w:val="15"/>
                <w:szCs w:val="15"/>
                <w:lang w:val="en-US" w:eastAsia="zh-CN" w:bidi="ar"/>
              </w:rPr>
              <w:t>20</w:t>
            </w:r>
            <w:r>
              <w:rPr>
                <w:rFonts w:hint="eastAsia" w:ascii="宋体" w:hAnsi="宋体" w:cs="宋体"/>
                <w:sz w:val="15"/>
                <w:szCs w:val="15"/>
                <w:lang w:bidi="ar"/>
              </w:rPr>
              <w:t>日</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202</w:t>
            </w:r>
            <w:r>
              <w:rPr>
                <w:rFonts w:hint="eastAsia" w:ascii="宋体" w:hAnsi="宋体" w:cs="宋体"/>
                <w:sz w:val="15"/>
                <w:szCs w:val="15"/>
                <w:lang w:val="en-US" w:eastAsia="zh-CN" w:bidi="ar"/>
              </w:rPr>
              <w:t>5</w:t>
            </w:r>
            <w:r>
              <w:rPr>
                <w:rFonts w:hint="eastAsia" w:ascii="宋体" w:hAnsi="宋体" w:cs="宋体"/>
                <w:sz w:val="15"/>
                <w:szCs w:val="15"/>
                <w:lang w:bidi="ar"/>
              </w:rPr>
              <w:t>年</w:t>
            </w:r>
            <w:r>
              <w:rPr>
                <w:rFonts w:hint="eastAsia" w:ascii="宋体" w:hAnsi="宋体" w:cs="宋体"/>
                <w:sz w:val="15"/>
                <w:szCs w:val="15"/>
                <w:lang w:val="en-US" w:eastAsia="zh-CN" w:bidi="ar"/>
              </w:rPr>
              <w:t>9</w:t>
            </w:r>
            <w:r>
              <w:rPr>
                <w:rFonts w:hint="eastAsia" w:ascii="宋体" w:hAnsi="宋体" w:cs="宋体"/>
                <w:sz w:val="15"/>
                <w:szCs w:val="15"/>
                <w:lang w:bidi="ar"/>
              </w:rPr>
              <w:t>月2</w:t>
            </w:r>
            <w:r>
              <w:rPr>
                <w:rFonts w:hint="eastAsia" w:ascii="宋体" w:hAnsi="宋体" w:cs="宋体"/>
                <w:sz w:val="15"/>
                <w:szCs w:val="15"/>
                <w:lang w:val="en-US" w:eastAsia="zh-CN" w:bidi="ar"/>
              </w:rPr>
              <w:t>6</w:t>
            </w:r>
            <w:r>
              <w:rPr>
                <w:rFonts w:hint="eastAsia" w:ascii="宋体" w:hAnsi="宋体" w:cs="宋体"/>
                <w:sz w:val="15"/>
                <w:szCs w:val="15"/>
                <w:lang w:bidi="ar"/>
              </w:rPr>
              <w:t>日</w:t>
            </w:r>
          </w:p>
        </w:tc>
      </w:tr>
      <w:tr>
        <w:tblPrEx>
          <w:tblCellMar>
            <w:top w:w="0" w:type="dxa"/>
            <w:left w:w="108" w:type="dxa"/>
            <w:bottom w:w="0" w:type="dxa"/>
            <w:right w:w="108" w:type="dxa"/>
          </w:tblCellMar>
        </w:tblPrEx>
        <w:trPr>
          <w:trHeight w:val="414" w:hRule="atLeast"/>
          <w:jc w:val="center"/>
        </w:trPr>
        <w:tc>
          <w:tcPr>
            <w:tcW w:w="60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11</w:t>
            </w:r>
          </w:p>
        </w:tc>
        <w:tc>
          <w:tcPr>
            <w:tcW w:w="21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是否存在固定期限</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无固定期限</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有到期日</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无固定期限</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无固定期限</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有到期日</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无固定期限</w:t>
            </w:r>
          </w:p>
        </w:tc>
      </w:tr>
      <w:tr>
        <w:tblPrEx>
          <w:tblCellMar>
            <w:top w:w="0" w:type="dxa"/>
            <w:left w:w="108" w:type="dxa"/>
            <w:bottom w:w="0" w:type="dxa"/>
            <w:right w:w="108" w:type="dxa"/>
          </w:tblCellMar>
        </w:tblPrEx>
        <w:trPr>
          <w:trHeight w:val="816" w:hRule="atLeast"/>
          <w:jc w:val="center"/>
        </w:trPr>
        <w:tc>
          <w:tcPr>
            <w:tcW w:w="60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12</w:t>
            </w:r>
          </w:p>
        </w:tc>
        <w:tc>
          <w:tcPr>
            <w:tcW w:w="21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其中：原始到期日</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2026年8月24日</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不适用</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203</w:t>
            </w:r>
            <w:r>
              <w:rPr>
                <w:rFonts w:hint="eastAsia" w:ascii="宋体" w:hAnsi="宋体" w:cs="宋体"/>
                <w:sz w:val="15"/>
                <w:szCs w:val="15"/>
                <w:lang w:val="en-US" w:eastAsia="zh-CN" w:bidi="ar"/>
              </w:rPr>
              <w:t>5</w:t>
            </w:r>
            <w:r>
              <w:rPr>
                <w:rFonts w:hint="eastAsia" w:ascii="宋体" w:hAnsi="宋体" w:cs="宋体"/>
                <w:sz w:val="15"/>
                <w:szCs w:val="15"/>
                <w:lang w:bidi="ar"/>
              </w:rPr>
              <w:t>年6月</w:t>
            </w:r>
            <w:r>
              <w:rPr>
                <w:rFonts w:hint="eastAsia" w:ascii="宋体" w:hAnsi="宋体" w:cs="宋体"/>
                <w:sz w:val="15"/>
                <w:szCs w:val="15"/>
                <w:lang w:val="en-US" w:eastAsia="zh-CN" w:bidi="ar"/>
              </w:rPr>
              <w:t>24</w:t>
            </w:r>
            <w:r>
              <w:rPr>
                <w:rFonts w:hint="eastAsia" w:ascii="宋体" w:hAnsi="宋体" w:cs="宋体"/>
                <w:sz w:val="15"/>
                <w:szCs w:val="15"/>
                <w:lang w:bidi="ar"/>
              </w:rPr>
              <w:t>日</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414" w:hRule="atLeast"/>
          <w:jc w:val="center"/>
        </w:trPr>
        <w:tc>
          <w:tcPr>
            <w:tcW w:w="60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13</w:t>
            </w:r>
          </w:p>
        </w:tc>
        <w:tc>
          <w:tcPr>
            <w:tcW w:w="21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发行人赎回（需经监管认可）</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是</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是</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是</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是</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是</w:t>
            </w:r>
          </w:p>
        </w:tc>
      </w:tr>
      <w:tr>
        <w:tblPrEx>
          <w:tblCellMar>
            <w:top w:w="0" w:type="dxa"/>
            <w:left w:w="108" w:type="dxa"/>
            <w:bottom w:w="0" w:type="dxa"/>
            <w:right w:w="108" w:type="dxa"/>
          </w:tblCellMar>
        </w:tblPrEx>
        <w:trPr>
          <w:trHeight w:val="90" w:hRule="atLeast"/>
          <w:jc w:val="center"/>
        </w:trPr>
        <w:tc>
          <w:tcPr>
            <w:tcW w:w="60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14</w:t>
            </w:r>
          </w:p>
        </w:tc>
        <w:tc>
          <w:tcPr>
            <w:tcW w:w="21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其中：赎回日期及额度</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b/>
                <w:bCs/>
                <w:kern w:val="2"/>
                <w:sz w:val="15"/>
                <w:szCs w:val="15"/>
              </w:rPr>
            </w:pPr>
            <w:r>
              <w:rPr>
                <w:rFonts w:hint="eastAsia" w:ascii="宋体" w:hAnsi="宋体" w:cs="宋体"/>
                <w:sz w:val="15"/>
                <w:szCs w:val="15"/>
                <w:lang w:bidi="ar"/>
              </w:rPr>
              <w:t>如果本行A股股票连续三十个交易日中至少有十五个交易日的收盘价不低于当期转股价的130%(含130%)，经相关监管部门批准(如需)，本行有权按照债券面值加当期应计利息的价格赎回全部或部分未转股的可转债。此外，当本次发行的可转债未转股的票面总金额不足人民币3,000万元时，本行有权按面值加当期应计利息的价格赎回全部未转股的可转债。</w:t>
            </w:r>
          </w:p>
        </w:tc>
        <w:tc>
          <w:tcPr>
            <w:tcW w:w="150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kern w:val="2"/>
                <w:sz w:val="15"/>
                <w:szCs w:val="15"/>
              </w:rPr>
            </w:pPr>
            <w:r>
              <w:rPr>
                <w:rFonts w:hint="eastAsia" w:ascii="宋体" w:hAnsi="宋体" w:cs="宋体"/>
                <w:sz w:val="15"/>
                <w:szCs w:val="15"/>
                <w:lang w:bidi="ar"/>
              </w:rPr>
              <w:t>2026年3月2</w:t>
            </w:r>
            <w:r>
              <w:rPr>
                <w:rFonts w:ascii="宋体" w:hAnsi="宋体" w:cs="宋体"/>
                <w:sz w:val="15"/>
                <w:szCs w:val="15"/>
                <w:lang w:bidi="ar"/>
              </w:rPr>
              <w:t>9</w:t>
            </w:r>
            <w:r>
              <w:rPr>
                <w:rFonts w:hint="eastAsia" w:ascii="宋体" w:hAnsi="宋体" w:cs="宋体"/>
                <w:sz w:val="15"/>
                <w:szCs w:val="15"/>
                <w:lang w:bidi="ar"/>
              </w:rPr>
              <w:t>日，全部或部分赎回</w:t>
            </w:r>
          </w:p>
        </w:tc>
        <w:tc>
          <w:tcPr>
            <w:tcW w:w="143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kern w:val="2"/>
                <w:sz w:val="15"/>
                <w:szCs w:val="15"/>
              </w:rPr>
            </w:pPr>
            <w:r>
              <w:rPr>
                <w:rFonts w:hint="eastAsia" w:ascii="宋体" w:hAnsi="宋体" w:cs="宋体"/>
                <w:sz w:val="15"/>
                <w:szCs w:val="15"/>
                <w:lang w:bidi="ar"/>
              </w:rPr>
              <w:t>2026年6月2</w:t>
            </w:r>
            <w:r>
              <w:rPr>
                <w:rFonts w:ascii="宋体" w:hAnsi="宋体" w:cs="宋体"/>
                <w:sz w:val="15"/>
                <w:szCs w:val="15"/>
                <w:lang w:bidi="ar"/>
              </w:rPr>
              <w:t>9</w:t>
            </w:r>
            <w:r>
              <w:rPr>
                <w:rFonts w:hint="eastAsia" w:ascii="宋体" w:hAnsi="宋体" w:cs="宋体"/>
                <w:sz w:val="15"/>
                <w:szCs w:val="15"/>
                <w:lang w:bidi="ar"/>
              </w:rPr>
              <w:t>日，全部或部分赎回</w:t>
            </w:r>
          </w:p>
        </w:tc>
        <w:tc>
          <w:tcPr>
            <w:tcW w:w="15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kern w:val="2"/>
                <w:sz w:val="15"/>
                <w:szCs w:val="15"/>
              </w:rPr>
            </w:pPr>
            <w:r>
              <w:rPr>
                <w:rFonts w:hint="eastAsia" w:ascii="宋体" w:hAnsi="宋体" w:cs="宋体"/>
                <w:sz w:val="15"/>
                <w:szCs w:val="15"/>
                <w:lang w:bidi="ar"/>
              </w:rPr>
              <w:t>20</w:t>
            </w:r>
            <w:r>
              <w:rPr>
                <w:rFonts w:hint="eastAsia" w:ascii="宋体" w:hAnsi="宋体" w:cs="宋体"/>
                <w:sz w:val="15"/>
                <w:szCs w:val="15"/>
                <w:lang w:val="en-US" w:eastAsia="zh-CN" w:bidi="ar"/>
              </w:rPr>
              <w:t>30</w:t>
            </w:r>
            <w:r>
              <w:rPr>
                <w:rFonts w:hint="eastAsia" w:ascii="宋体" w:hAnsi="宋体" w:cs="宋体"/>
                <w:sz w:val="15"/>
                <w:szCs w:val="15"/>
                <w:lang w:bidi="ar"/>
              </w:rPr>
              <w:t>年6月2</w:t>
            </w:r>
            <w:r>
              <w:rPr>
                <w:rFonts w:hint="eastAsia" w:ascii="宋体" w:hAnsi="宋体" w:cs="宋体"/>
                <w:sz w:val="15"/>
                <w:szCs w:val="15"/>
                <w:lang w:val="en-US" w:eastAsia="zh-CN" w:bidi="ar"/>
              </w:rPr>
              <w:t>4</w:t>
            </w:r>
            <w:r>
              <w:rPr>
                <w:rFonts w:hint="eastAsia" w:ascii="宋体" w:hAnsi="宋体" w:cs="宋体"/>
                <w:sz w:val="15"/>
                <w:szCs w:val="15"/>
                <w:lang w:bidi="ar"/>
              </w:rPr>
              <w:t>日，全部或部分赎回</w:t>
            </w:r>
          </w:p>
        </w:tc>
        <w:tc>
          <w:tcPr>
            <w:tcW w:w="1516" w:type="dxa"/>
            <w:tcBorders>
              <w:top w:val="single" w:color="000000" w:sz="4" w:space="0"/>
              <w:left w:val="single" w:color="000000" w:sz="4" w:space="0"/>
              <w:bottom w:val="single" w:color="000000" w:sz="4" w:space="0"/>
              <w:right w:val="single" w:color="000000" w:sz="4" w:space="0"/>
            </w:tcBorders>
            <w:vAlign w:val="center"/>
          </w:tcPr>
          <w:p>
            <w:pPr>
              <w:jc w:val="center"/>
              <w:rPr>
                <w:rFonts w:hint="default" w:ascii="宋体" w:hAnsi="宋体" w:eastAsia="宋体" w:cs="宋体"/>
                <w:sz w:val="15"/>
                <w:szCs w:val="15"/>
                <w:lang w:val="en-US" w:eastAsia="zh-CN" w:bidi="ar"/>
              </w:rPr>
            </w:pPr>
            <w:r>
              <w:rPr>
                <w:rFonts w:hint="eastAsia" w:ascii="宋体" w:hAnsi="宋体" w:cs="宋体"/>
                <w:sz w:val="15"/>
                <w:szCs w:val="15"/>
                <w:lang w:val="en-US" w:eastAsia="zh-CN" w:bidi="ar"/>
              </w:rPr>
              <w:t>2030年9月29日，</w:t>
            </w:r>
            <w:r>
              <w:rPr>
                <w:rFonts w:hint="eastAsia" w:ascii="宋体" w:hAnsi="宋体" w:cs="宋体"/>
                <w:sz w:val="15"/>
                <w:szCs w:val="15"/>
                <w:lang w:bidi="ar"/>
              </w:rPr>
              <w:t>全部或部分赎回</w:t>
            </w:r>
          </w:p>
        </w:tc>
      </w:tr>
      <w:tr>
        <w:tblPrEx>
          <w:tblCellMar>
            <w:top w:w="0" w:type="dxa"/>
            <w:left w:w="108" w:type="dxa"/>
            <w:bottom w:w="0" w:type="dxa"/>
            <w:right w:w="108" w:type="dxa"/>
          </w:tblCellMar>
        </w:tblPrEx>
        <w:trPr>
          <w:trHeight w:val="1218"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15</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其中：后续赎回日期（如有）</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如果本行A股股票连续三十个交易日中至少有十五个交易日的收盘价不低于当期转股价的130%(含130%)，经相关监管部门批准(如需)，本行有权按照债券面值加当期应计利息的价格赎回全部或部分未转股的可转债。此外，当本次发行的可转债未转股的票面总金额不足人民币3,000万元时，本行有权按面值加当期应计利息的价格赎回全部未转股的可转债。</w:t>
            </w:r>
          </w:p>
        </w:tc>
        <w:tc>
          <w:tcPr>
            <w:tcW w:w="1502" w:type="dxa"/>
            <w:tcBorders>
              <w:top w:val="single" w:color="000000" w:sz="4" w:space="0"/>
              <w:left w:val="single" w:color="000000" w:sz="4" w:space="0"/>
              <w:bottom w:val="single" w:color="000000" w:sz="4" w:space="0"/>
              <w:right w:val="single" w:color="000000" w:sz="4" w:space="0"/>
            </w:tcBorders>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本期债券发行设置发行人有条件赎回条款。发行人自发行之日起5年后，有权于每年付息日(含发行之日后第5年付息日)全部或部分赎回本期债券。在本期债券发行后，如发生不可预计的监管规则变化导致本期券不再计入其他一级资本，发行人有权全部而非部分地赎回本期债券。</w:t>
            </w:r>
          </w:p>
        </w:tc>
        <w:tc>
          <w:tcPr>
            <w:tcW w:w="1438" w:type="dxa"/>
            <w:tcBorders>
              <w:top w:val="single" w:color="000000" w:sz="4" w:space="0"/>
              <w:left w:val="single" w:color="000000" w:sz="4" w:space="0"/>
              <w:bottom w:val="single" w:color="000000" w:sz="4" w:space="0"/>
              <w:right w:val="single" w:color="000000" w:sz="4" w:space="0"/>
            </w:tcBorders>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本期债券发行设置发行人有条件赎回条款。发行人自发行之日起5年后，有权于每年付息日(含发行之日后第5年付息日)全部或部分赎回本期债券。在本期债券发行后，如发生不可预计的监管规则变化导致本期券不再计入其他一级资本，发行人有权全部而非部分地赎回本期债券。</w:t>
            </w:r>
          </w:p>
        </w:tc>
        <w:tc>
          <w:tcPr>
            <w:tcW w:w="1516" w:type="dxa"/>
            <w:tcBorders>
              <w:top w:val="single" w:color="000000" w:sz="4" w:space="0"/>
              <w:left w:val="single" w:color="000000" w:sz="4" w:space="0"/>
              <w:bottom w:val="single" w:color="000000" w:sz="4" w:space="0"/>
              <w:right w:val="single" w:color="000000" w:sz="4" w:space="0"/>
            </w:tcBorders>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本期债券发行设置发行人有条件赎回条款。发行人自发行之日起5年后，有权于每年付息日(含发行之日后第5年付息日)全部或部分赎回本期债券。在本期债券发行后，如发生不可预计的监管规则变化导致本期券不再计入其他一级资本，发行人有权全部而非部分地赎回本期债券。</w:t>
            </w:r>
          </w:p>
        </w:tc>
      </w:tr>
      <w:tr>
        <w:tblPrEx>
          <w:tblCellMar>
            <w:top w:w="0" w:type="dxa"/>
            <w:left w:w="108" w:type="dxa"/>
            <w:bottom w:w="0" w:type="dxa"/>
            <w:right w:w="108" w:type="dxa"/>
          </w:tblCellMar>
        </w:tblPrEx>
        <w:trPr>
          <w:trHeight w:val="414"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kern w:val="2"/>
                <w:sz w:val="15"/>
                <w:szCs w:val="15"/>
              </w:rPr>
            </w:pP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分红或派息</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p>
        </w:tc>
      </w:tr>
      <w:tr>
        <w:tblPrEx>
          <w:tblCellMar>
            <w:top w:w="0" w:type="dxa"/>
            <w:left w:w="108" w:type="dxa"/>
            <w:bottom w:w="0" w:type="dxa"/>
            <w:right w:w="108" w:type="dxa"/>
          </w:tblCellMar>
        </w:tblPrEx>
        <w:trPr>
          <w:trHeight w:val="816"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16</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其中：固定或浮动分红/派息</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浮动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固定</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ascii="宋体" w:hAnsi="宋体" w:cs="宋体"/>
                <w:sz w:val="15"/>
                <w:szCs w:val="15"/>
                <w:lang w:bidi="ar"/>
              </w:rPr>
              <w:t>固定到浮动</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ascii="宋体" w:hAnsi="宋体" w:cs="宋体"/>
                <w:sz w:val="15"/>
                <w:szCs w:val="15"/>
                <w:lang w:bidi="ar"/>
              </w:rPr>
              <w:t>固定到浮动</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固定</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ascii="宋体" w:hAnsi="宋体" w:cs="宋体"/>
                <w:sz w:val="15"/>
                <w:szCs w:val="15"/>
                <w:lang w:bidi="ar"/>
              </w:rPr>
              <w:t>固定到浮动</w:t>
            </w:r>
          </w:p>
        </w:tc>
      </w:tr>
      <w:tr>
        <w:tblPrEx>
          <w:tblCellMar>
            <w:top w:w="0" w:type="dxa"/>
            <w:left w:w="108" w:type="dxa"/>
            <w:bottom w:w="0" w:type="dxa"/>
            <w:right w:w="108" w:type="dxa"/>
          </w:tblCellMar>
        </w:tblPrEx>
        <w:trPr>
          <w:trHeight w:val="1218"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17</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其中：票面利率及相关指标，如采用的基准利率等</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第一年0.2%、第二年0.4%、第三年0.8%、第四年1.2%、第五年1.6%、第六年2%</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ascii="宋体" w:hAnsi="宋体" w:cs="宋体"/>
                <w:sz w:val="15"/>
                <w:szCs w:val="15"/>
                <w:lang w:bidi="ar"/>
              </w:rPr>
              <w:t>本次债券采用分阶段调整的票面利率，自发行缴款截止日起每5年为一个票面利率调整期，在一个票面利率调整期内以约定的相同票面利率支付利息。发行时的票面利率通过簿记建档、集中配售的方式确定。</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ascii="宋体" w:hAnsi="宋体" w:cs="宋体"/>
                <w:sz w:val="15"/>
                <w:szCs w:val="15"/>
                <w:lang w:bidi="ar"/>
              </w:rPr>
              <w:t>本次债券采用分阶段调整的票面利率，自发行缴款截止日起每5年为一个票面利率调整期，在一个票面利率调整期内以约定的相同票面利率支付利息。发行时的票面利率通过簿记建档、集中配售的方式确定。</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val="en-US" w:eastAsia="zh-CN" w:bidi="ar"/>
              </w:rPr>
              <w:t>2.04</w:t>
            </w:r>
            <w:r>
              <w:rPr>
                <w:rFonts w:hint="eastAsia" w:ascii="宋体" w:hAnsi="宋体" w:cs="宋体"/>
                <w:sz w:val="15"/>
                <w:szCs w:val="15"/>
                <w:lang w:bidi="ar"/>
              </w:rPr>
              <w:t>%</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val="en-US" w:eastAsia="zh-CN" w:bidi="ar"/>
              </w:rPr>
            </w:pPr>
            <w:r>
              <w:rPr>
                <w:rFonts w:ascii="宋体" w:hAnsi="宋体" w:cs="宋体"/>
                <w:sz w:val="15"/>
                <w:szCs w:val="15"/>
                <w:lang w:bidi="ar"/>
              </w:rPr>
              <w:t>本</w:t>
            </w:r>
            <w:r>
              <w:rPr>
                <w:rFonts w:hint="eastAsia" w:ascii="宋体" w:hAnsi="宋体" w:cs="宋体"/>
                <w:sz w:val="15"/>
                <w:szCs w:val="15"/>
                <w:lang w:val="en-US" w:eastAsia="zh-CN" w:bidi="ar"/>
              </w:rPr>
              <w:t>期</w:t>
            </w:r>
            <w:r>
              <w:rPr>
                <w:rFonts w:ascii="宋体" w:hAnsi="宋体" w:cs="宋体"/>
                <w:sz w:val="15"/>
                <w:szCs w:val="15"/>
                <w:lang w:bidi="ar"/>
              </w:rPr>
              <w:t>债券采用分阶段调整的票面利率，自发行缴款截止日起每5年为一个票面利率调整期，在一个票面利率调整期内以约定的相同票面利率支付利息。发行时的票面利率通过簿记建档、集中配售的方式确定。</w:t>
            </w:r>
          </w:p>
        </w:tc>
      </w:tr>
      <w:tr>
        <w:tblPrEx>
          <w:tblCellMar>
            <w:top w:w="0" w:type="dxa"/>
            <w:left w:w="108" w:type="dxa"/>
            <w:bottom w:w="0" w:type="dxa"/>
            <w:right w:w="108" w:type="dxa"/>
          </w:tblCellMar>
        </w:tblPrEx>
        <w:trPr>
          <w:trHeight w:val="816"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18</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其中：是否存在股息制动机制</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是</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是</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是</w:t>
            </w:r>
          </w:p>
        </w:tc>
      </w:tr>
      <w:tr>
        <w:tblPrEx>
          <w:tblCellMar>
            <w:top w:w="0" w:type="dxa"/>
            <w:left w:w="108" w:type="dxa"/>
            <w:bottom w:w="0" w:type="dxa"/>
            <w:right w:w="108" w:type="dxa"/>
          </w:tblCellMar>
        </w:tblPrEx>
        <w:trPr>
          <w:trHeight w:val="816"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19</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其中：是否可自主取消分红或派息</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完全自由裁量</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无自由裁量权</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完全自由裁量</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完全自由裁量</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无自由裁量权</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完全自由裁量</w:t>
            </w:r>
          </w:p>
        </w:tc>
      </w:tr>
      <w:tr>
        <w:tblPrEx>
          <w:tblCellMar>
            <w:top w:w="0" w:type="dxa"/>
            <w:left w:w="108" w:type="dxa"/>
            <w:bottom w:w="0" w:type="dxa"/>
            <w:right w:w="108" w:type="dxa"/>
          </w:tblCellMar>
        </w:tblPrEx>
        <w:trPr>
          <w:trHeight w:val="816"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20</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其中：是否有赎回激励机制</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否</w:t>
            </w:r>
          </w:p>
        </w:tc>
      </w:tr>
      <w:tr>
        <w:tblPrEx>
          <w:tblCellMar>
            <w:top w:w="0" w:type="dxa"/>
            <w:left w:w="108" w:type="dxa"/>
            <w:bottom w:w="0" w:type="dxa"/>
            <w:right w:w="108" w:type="dxa"/>
          </w:tblCellMar>
        </w:tblPrEx>
        <w:trPr>
          <w:trHeight w:val="414"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21</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 xml:space="preserve">    其中：累计或非累计</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非累计</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非累计</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非累计</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非累计</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非累计</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非累计</w:t>
            </w:r>
          </w:p>
        </w:tc>
      </w:tr>
      <w:tr>
        <w:tblPrEx>
          <w:tblCellMar>
            <w:top w:w="0" w:type="dxa"/>
            <w:left w:w="108" w:type="dxa"/>
            <w:bottom w:w="0" w:type="dxa"/>
            <w:right w:w="108" w:type="dxa"/>
          </w:tblCellMar>
        </w:tblPrEx>
        <w:trPr>
          <w:trHeight w:val="414"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22</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kern w:val="2"/>
                <w:sz w:val="15"/>
                <w:szCs w:val="15"/>
              </w:rPr>
            </w:pPr>
            <w:r>
              <w:rPr>
                <w:rFonts w:hint="eastAsia" w:ascii="宋体" w:hAnsi="宋体" w:cs="宋体"/>
                <w:sz w:val="15"/>
                <w:szCs w:val="15"/>
                <w:lang w:bidi="ar"/>
              </w:rPr>
              <w:t>是否可转股</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是</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kern w:val="2"/>
                <w:sz w:val="15"/>
                <w:szCs w:val="15"/>
              </w:rPr>
            </w:pPr>
            <w:r>
              <w:rPr>
                <w:rFonts w:hint="eastAsia" w:ascii="宋体" w:hAnsi="宋体" w:cs="宋体"/>
                <w:sz w:val="15"/>
                <w:szCs w:val="15"/>
                <w:lang w:bidi="ar"/>
              </w:rPr>
              <w:t>否</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kern w:val="2"/>
                <w:sz w:val="15"/>
                <w:szCs w:val="15"/>
                <w:lang w:val="en-US" w:eastAsia="zh-CN" w:bidi="ar-SA"/>
              </w:rPr>
            </w:pPr>
            <w:r>
              <w:rPr>
                <w:rFonts w:hint="eastAsia" w:ascii="宋体" w:hAnsi="宋体" w:cs="宋体"/>
                <w:sz w:val="15"/>
                <w:szCs w:val="15"/>
                <w:lang w:bidi="ar"/>
              </w:rPr>
              <w:t>否</w:t>
            </w:r>
          </w:p>
        </w:tc>
      </w:tr>
      <w:tr>
        <w:tblPrEx>
          <w:tblCellMar>
            <w:top w:w="0" w:type="dxa"/>
            <w:left w:w="108" w:type="dxa"/>
            <w:bottom w:w="0" w:type="dxa"/>
            <w:right w:w="108" w:type="dxa"/>
          </w:tblCellMar>
        </w:tblPrEx>
        <w:trPr>
          <w:trHeight w:val="2261"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23</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其中：若可转股，则说明转股触发条件</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本次可转债转股期自可转债发行结束之日（2020年8月31日）满六个月后的第一个交易日（2021年3月1日）起至债券到期日（2026年8月24日，如遇节假日，向后顺延）止。</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816"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24</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其中：若可转股，则说明全部转股还是部分转股</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可全部转股也可部分转股</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1272"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25</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其中：若可转股，则说明转股价格确定方式</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本次发行可转债的初始转股价格为5.74元/股，不低于募集说明书公告之日前二十个交易日公司A股股票交易均价（若在该二十个交易日内发生过因除权、除息引起股价调整的情形，则对调整前交易日的交易价按经过相应除权、除息调整后的价格计算）和前一个交易日公司A股股票交易均价，以及最近一期经审计的每股净资产和股票面值。</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816"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26</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其中：若可转股，则说明是否为强制性转换</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可选择的</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816"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27</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其中：若可转股，则说明转换后工具类型</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核心一级资本</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816"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28</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其中：若可转股，则说明转换后工具的发行人</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青岛农商银行</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414"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29</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是否减记</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是</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是</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是</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是</w:t>
            </w:r>
          </w:p>
        </w:tc>
      </w:tr>
      <w:tr>
        <w:tblPrEx>
          <w:tblCellMar>
            <w:top w:w="0" w:type="dxa"/>
            <w:left w:w="108" w:type="dxa"/>
            <w:bottom w:w="0" w:type="dxa"/>
            <w:right w:w="108" w:type="dxa"/>
          </w:tblCellMar>
        </w:tblPrEx>
        <w:trPr>
          <w:trHeight w:val="3628"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30</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其中：若减记，则说明减记触发条件</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（1）银保监部门认定若不进行减记发行人将无法生存；（2）相关部门认定若不进行公共部门注资或提供同等效力的支持发行人将无法生存。</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（1）银保监部门认定若不进行减记发行人将无法生存；（2）相关部门认定若不进行公共部门注资或提供同等效力的支持发行人将无法生存。</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（1）银保监部门认定若不进行减记发行人将无法生存；（2）相关部门认定若不进行公共部门注资或提供同等效力的支持发行人将无法生存。</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（1）银保监部门认定若不进行减记发行人将无法生存；（2）相关部门认定若不进行公共部门注资或提供同等效力的支持发行人将无法生存。</w:t>
            </w:r>
          </w:p>
        </w:tc>
      </w:tr>
      <w:tr>
        <w:tblPrEx>
          <w:tblCellMar>
            <w:top w:w="0" w:type="dxa"/>
            <w:left w:w="108" w:type="dxa"/>
            <w:bottom w:w="0" w:type="dxa"/>
            <w:right w:w="108" w:type="dxa"/>
          </w:tblCellMar>
        </w:tblPrEx>
        <w:trPr>
          <w:trHeight w:val="816"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31</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其中：若减记，则说明是部分减记还是全部减记</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全部减记</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全部减记</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全部减记</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全部减记</w:t>
            </w:r>
          </w:p>
        </w:tc>
      </w:tr>
      <w:tr>
        <w:tblPrEx>
          <w:tblCellMar>
            <w:top w:w="0" w:type="dxa"/>
            <w:left w:w="108" w:type="dxa"/>
            <w:bottom w:w="0" w:type="dxa"/>
            <w:right w:w="108" w:type="dxa"/>
          </w:tblCellMar>
        </w:tblPrEx>
        <w:trPr>
          <w:trHeight w:val="816"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32</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其中：若减记，则说明是永久减记还是临时减记</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永久减记</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永久减记</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永久减记</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永久减记</w:t>
            </w:r>
          </w:p>
        </w:tc>
      </w:tr>
      <w:tr>
        <w:tblPrEx>
          <w:tblCellMar>
            <w:top w:w="0" w:type="dxa"/>
            <w:left w:w="108" w:type="dxa"/>
            <w:bottom w:w="0" w:type="dxa"/>
            <w:right w:w="108" w:type="dxa"/>
          </w:tblCellMar>
        </w:tblPrEx>
        <w:trPr>
          <w:trHeight w:val="816"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33</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 xml:space="preserve">    </w:t>
            </w:r>
            <w:bookmarkStart w:id="0" w:name="_GoBack"/>
            <w:bookmarkEnd w:id="0"/>
            <w:r>
              <w:rPr>
                <w:rFonts w:hint="eastAsia" w:ascii="宋体" w:hAnsi="宋体" w:cs="宋体"/>
                <w:sz w:val="15"/>
                <w:szCs w:val="15"/>
                <w:lang w:bidi="ar"/>
              </w:rPr>
              <w:t>其中：若临时减记，则说明账面价值恢复机制</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02"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sz w:val="15"/>
                <w:szCs w:val="15"/>
                <w:lang w:bidi="ar"/>
              </w:rPr>
            </w:pPr>
            <w:r>
              <w:rPr>
                <w:rFonts w:hint="eastAsia" w:ascii="宋体" w:hAnsi="宋体" w:cs="宋体"/>
                <w:sz w:val="15"/>
                <w:szCs w:val="15"/>
                <w:lang w:bidi="ar"/>
              </w:rPr>
              <w:t>不适用</w:t>
            </w:r>
          </w:p>
        </w:tc>
        <w:tc>
          <w:tcPr>
            <w:tcW w:w="143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sz w:val="15"/>
                <w:szCs w:val="15"/>
                <w:lang w:bidi="ar"/>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sz w:val="15"/>
                <w:szCs w:val="15"/>
                <w:lang w:bidi="ar"/>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sz w:val="15"/>
                <w:szCs w:val="15"/>
                <w:lang w:val="en-US" w:eastAsia="zh-CN" w:bidi="ar"/>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414"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33a</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次级类型</w:t>
            </w:r>
          </w:p>
        </w:tc>
        <w:tc>
          <w:tcPr>
            <w:tcW w:w="1400"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cs="宋体"/>
                <w:sz w:val="15"/>
                <w:szCs w:val="15"/>
                <w:lang w:bidi="ar"/>
              </w:rPr>
            </w:pPr>
            <w:r>
              <w:rPr>
                <w:rFonts w:hint="eastAsia" w:ascii="宋体" w:hAnsi="宋体" w:cs="宋体"/>
                <w:sz w:val="15"/>
                <w:szCs w:val="15"/>
                <w:lang w:bidi="ar"/>
              </w:rPr>
              <w:t>不适用</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不适用</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hint="eastAsia" w:ascii="宋体" w:hAnsi="宋体" w:cs="宋体"/>
                <w:sz w:val="15"/>
                <w:szCs w:val="15"/>
                <w:lang w:bidi="ar"/>
              </w:rPr>
              <w:t>不适用</w:t>
            </w:r>
          </w:p>
        </w:tc>
      </w:tr>
      <w:tr>
        <w:tblPrEx>
          <w:tblCellMar>
            <w:top w:w="0" w:type="dxa"/>
            <w:left w:w="108" w:type="dxa"/>
            <w:bottom w:w="0" w:type="dxa"/>
            <w:right w:w="108" w:type="dxa"/>
          </w:tblCellMar>
        </w:tblPrEx>
        <w:trPr>
          <w:trHeight w:val="829" w:hRule="atLeast"/>
          <w:jc w:val="center"/>
        </w:trPr>
        <w:tc>
          <w:tcPr>
            <w:tcW w:w="59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hint="eastAsia" w:ascii="宋体" w:hAnsi="宋体" w:cs="宋体"/>
                <w:sz w:val="15"/>
                <w:szCs w:val="15"/>
                <w:lang w:bidi="ar"/>
              </w:rPr>
              <w:t>34</w:t>
            </w:r>
          </w:p>
        </w:tc>
        <w:tc>
          <w:tcPr>
            <w:tcW w:w="2176"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cs="宋体"/>
                <w:sz w:val="15"/>
                <w:szCs w:val="15"/>
                <w:lang w:bidi="ar"/>
              </w:rPr>
            </w:pPr>
            <w:r>
              <w:rPr>
                <w:rFonts w:hint="eastAsia" w:ascii="宋体" w:hAnsi="宋体" w:cs="宋体"/>
                <w:sz w:val="15"/>
                <w:szCs w:val="15"/>
                <w:lang w:bidi="ar"/>
              </w:rPr>
              <w:t>清算时清偿顺序（说明清偿顺序更高级的工具类型）</w:t>
            </w:r>
          </w:p>
        </w:tc>
        <w:tc>
          <w:tcPr>
            <w:tcW w:w="14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ascii="宋体" w:hAnsi="宋体" w:cs="宋体"/>
                <w:sz w:val="15"/>
                <w:szCs w:val="15"/>
                <w:lang w:bidi="ar"/>
              </w:rPr>
              <w:t>受偿顺序排在存款人、一般债权人、次级债权人之后</w:t>
            </w:r>
          </w:p>
        </w:tc>
        <w:tc>
          <w:tcPr>
            <w:tcW w:w="171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ascii="宋体" w:hAnsi="宋体" w:cs="宋体"/>
                <w:sz w:val="15"/>
                <w:szCs w:val="15"/>
                <w:lang w:bidi="ar"/>
              </w:rPr>
              <w:t xml:space="preserve">在存款人之后，等同于一般债权人。 </w:t>
            </w:r>
          </w:p>
        </w:tc>
        <w:tc>
          <w:tcPr>
            <w:tcW w:w="150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ascii="宋体" w:hAnsi="宋体" w:cs="宋体"/>
                <w:sz w:val="15"/>
                <w:szCs w:val="15"/>
                <w:lang w:bidi="ar"/>
              </w:rPr>
              <w:t>存款人、一般债权人、次级</w:t>
            </w:r>
            <w:r>
              <w:rPr>
                <w:rFonts w:hint="eastAsia" w:ascii="宋体" w:hAnsi="宋体" w:cs="宋体"/>
                <w:sz w:val="15"/>
                <w:szCs w:val="15"/>
                <w:lang w:bidi="ar"/>
              </w:rPr>
              <w:t>债务</w:t>
            </w:r>
            <w:r>
              <w:rPr>
                <w:rFonts w:ascii="宋体" w:hAnsi="宋体" w:cs="宋体"/>
                <w:sz w:val="15"/>
                <w:szCs w:val="15"/>
                <w:lang w:bidi="ar"/>
              </w:rPr>
              <w:t>之后</w:t>
            </w:r>
            <w:r>
              <w:rPr>
                <w:rFonts w:hint="eastAsia" w:ascii="宋体" w:hAnsi="宋体" w:cs="宋体"/>
                <w:sz w:val="15"/>
                <w:szCs w:val="15"/>
                <w:lang w:bidi="ar"/>
              </w:rPr>
              <w:t>，</w:t>
            </w:r>
            <w:r>
              <w:rPr>
                <w:rFonts w:ascii="宋体" w:hAnsi="宋体" w:cs="宋体"/>
                <w:sz w:val="15"/>
                <w:szCs w:val="15"/>
                <w:lang w:bidi="ar"/>
              </w:rPr>
              <w:t>股东持有的所有类别股份之前</w:t>
            </w:r>
          </w:p>
        </w:tc>
        <w:tc>
          <w:tcPr>
            <w:tcW w:w="143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ascii="宋体" w:hAnsi="宋体" w:cs="宋体"/>
                <w:sz w:val="15"/>
                <w:szCs w:val="15"/>
                <w:lang w:bidi="ar"/>
              </w:rPr>
              <w:t>存款人、一般债权人、次级</w:t>
            </w:r>
            <w:r>
              <w:rPr>
                <w:rFonts w:hint="eastAsia" w:ascii="宋体" w:hAnsi="宋体" w:cs="宋体"/>
                <w:sz w:val="15"/>
                <w:szCs w:val="15"/>
                <w:lang w:bidi="ar"/>
              </w:rPr>
              <w:t>债务</w:t>
            </w:r>
            <w:r>
              <w:rPr>
                <w:rFonts w:ascii="宋体" w:hAnsi="宋体" w:cs="宋体"/>
                <w:sz w:val="15"/>
                <w:szCs w:val="15"/>
                <w:lang w:bidi="ar"/>
              </w:rPr>
              <w:t>之后</w:t>
            </w:r>
            <w:r>
              <w:rPr>
                <w:rFonts w:hint="eastAsia" w:ascii="宋体" w:hAnsi="宋体" w:cs="宋体"/>
                <w:sz w:val="15"/>
                <w:szCs w:val="15"/>
                <w:lang w:bidi="ar"/>
              </w:rPr>
              <w:t>，</w:t>
            </w:r>
            <w:r>
              <w:rPr>
                <w:rFonts w:ascii="宋体" w:hAnsi="宋体" w:cs="宋体"/>
                <w:sz w:val="15"/>
                <w:szCs w:val="15"/>
                <w:lang w:bidi="ar"/>
              </w:rPr>
              <w:t>股东持有的所有类别股份之前</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sz w:val="15"/>
                <w:szCs w:val="15"/>
                <w:lang w:bidi="ar"/>
              </w:rPr>
            </w:pPr>
            <w:r>
              <w:rPr>
                <w:rFonts w:ascii="宋体" w:hAnsi="宋体" w:cs="宋体"/>
                <w:sz w:val="15"/>
                <w:szCs w:val="15"/>
                <w:lang w:bidi="ar"/>
              </w:rPr>
              <w:t>存款人和一般债权人之后，股权资本、其他一级资本工具和混合资本债券之前</w:t>
            </w:r>
          </w:p>
        </w:tc>
        <w:tc>
          <w:tcPr>
            <w:tcW w:w="151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sz w:val="15"/>
                <w:szCs w:val="15"/>
                <w:lang w:val="en-US" w:eastAsia="zh-CN" w:bidi="ar"/>
              </w:rPr>
            </w:pPr>
            <w:r>
              <w:rPr>
                <w:rFonts w:ascii="宋体" w:hAnsi="宋体" w:cs="宋体"/>
                <w:sz w:val="15"/>
                <w:szCs w:val="15"/>
                <w:lang w:bidi="ar"/>
              </w:rPr>
              <w:t>存款人、一般债权人、次级</w:t>
            </w:r>
            <w:r>
              <w:rPr>
                <w:rFonts w:hint="eastAsia" w:ascii="宋体" w:hAnsi="宋体" w:cs="宋体"/>
                <w:sz w:val="15"/>
                <w:szCs w:val="15"/>
                <w:lang w:bidi="ar"/>
              </w:rPr>
              <w:t>债务</w:t>
            </w:r>
            <w:r>
              <w:rPr>
                <w:rFonts w:ascii="宋体" w:hAnsi="宋体" w:cs="宋体"/>
                <w:sz w:val="15"/>
                <w:szCs w:val="15"/>
                <w:lang w:bidi="ar"/>
              </w:rPr>
              <w:t>之后</w:t>
            </w:r>
            <w:r>
              <w:rPr>
                <w:rFonts w:hint="eastAsia" w:ascii="宋体" w:hAnsi="宋体" w:cs="宋体"/>
                <w:sz w:val="15"/>
                <w:szCs w:val="15"/>
                <w:lang w:bidi="ar"/>
              </w:rPr>
              <w:t>，</w:t>
            </w:r>
            <w:r>
              <w:rPr>
                <w:rFonts w:ascii="宋体" w:hAnsi="宋体" w:cs="宋体"/>
                <w:sz w:val="15"/>
                <w:szCs w:val="15"/>
                <w:lang w:bidi="ar"/>
              </w:rPr>
              <w:t>股东持有的所有类别股份之前</w:t>
            </w:r>
          </w:p>
        </w:tc>
      </w:tr>
    </w:tbl>
    <w:p/>
    <w:sectPr>
      <w:footerReference r:id="rId3"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left"/>
      <w:rPr>
        <w:rFonts w:ascii="Calibri" w:hAnsi="Calibri"/>
        <w:kern w:val="2"/>
        <w:sz w:val="18"/>
      </w:rPr>
    </w:pPr>
    <w:r>
      <w:rPr>
        <w:rFonts w:ascii="Calibri" w:hAnsi="Calibri"/>
        <w:kern w:val="2"/>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jc w:val="left"/>
                            <w:rPr>
                              <w:rFonts w:ascii="Calibri" w:hAnsi="Calibri"/>
                              <w:kern w:val="2"/>
                              <w:sz w:val="18"/>
                            </w:rPr>
                          </w:pPr>
                          <w:r>
                            <w:rPr>
                              <w:rFonts w:hint="eastAsia" w:ascii="宋体" w:hAnsi="宋体" w:cs="宋体"/>
                              <w:kern w:val="2"/>
                              <w:sz w:val="18"/>
                            </w:rPr>
                            <w:fldChar w:fldCharType="begin"/>
                          </w:r>
                          <w:r>
                            <w:rPr>
                              <w:rFonts w:hint="eastAsia" w:ascii="宋体" w:hAnsi="宋体" w:cs="宋体"/>
                              <w:kern w:val="2"/>
                              <w:sz w:val="18"/>
                            </w:rPr>
                            <w:instrText xml:space="preserve"> PAGE  \* MERGEFORMAT </w:instrText>
                          </w:r>
                          <w:r>
                            <w:rPr>
                              <w:rFonts w:hint="eastAsia" w:ascii="宋体" w:hAnsi="宋体" w:cs="宋体"/>
                              <w:kern w:val="2"/>
                              <w:sz w:val="18"/>
                            </w:rPr>
                            <w:fldChar w:fldCharType="separate"/>
                          </w:r>
                          <w:r>
                            <w:rPr>
                              <w:rFonts w:hint="eastAsia" w:ascii="宋体" w:hAnsi="宋体" w:cs="宋体"/>
                              <w:kern w:val="2"/>
                              <w:sz w:val="18"/>
                            </w:rPr>
                            <w:t>1</w:t>
                          </w:r>
                          <w:r>
                            <w:rPr>
                              <w:rFonts w:hint="eastAsia" w:ascii="宋体" w:hAnsi="宋体" w:cs="宋体"/>
                              <w:kern w:val="2"/>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hxXCMIBAACP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JyDQjvDgkLl34y6gg1FcM5FUbTTuVF+PNesp7+o8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FIcVwjCAQAAjwMAAA4AAAAAAAAAAQAgAAAAHgEAAGRycy9lMm9Eb2MueG1sUEsF&#10;BgAAAAAGAAYAWQEAAFIFAAAAAA==&#10;">
              <v:fill on="f" focussize="0,0"/>
              <v:stroke on="f"/>
              <v:imagedata o:title=""/>
              <o:lock v:ext="edit" aspectratio="f"/>
              <v:textbox inset="0mm,0mm,0mm,0mm" style="mso-fit-shape-to-text:t;">
                <w:txbxContent>
                  <w:p>
                    <w:pPr>
                      <w:snapToGrid w:val="0"/>
                      <w:jc w:val="left"/>
                      <w:rPr>
                        <w:rFonts w:ascii="Calibri" w:hAnsi="Calibri"/>
                        <w:kern w:val="2"/>
                        <w:sz w:val="18"/>
                      </w:rPr>
                    </w:pPr>
                    <w:r>
                      <w:rPr>
                        <w:rFonts w:hint="eastAsia" w:ascii="宋体" w:hAnsi="宋体" w:cs="宋体"/>
                        <w:kern w:val="2"/>
                        <w:sz w:val="18"/>
                      </w:rPr>
                      <w:fldChar w:fldCharType="begin"/>
                    </w:r>
                    <w:r>
                      <w:rPr>
                        <w:rFonts w:hint="eastAsia" w:ascii="宋体" w:hAnsi="宋体" w:cs="宋体"/>
                        <w:kern w:val="2"/>
                        <w:sz w:val="18"/>
                      </w:rPr>
                      <w:instrText xml:space="preserve"> PAGE  \* MERGEFORMAT </w:instrText>
                    </w:r>
                    <w:r>
                      <w:rPr>
                        <w:rFonts w:hint="eastAsia" w:ascii="宋体" w:hAnsi="宋体" w:cs="宋体"/>
                        <w:kern w:val="2"/>
                        <w:sz w:val="18"/>
                      </w:rPr>
                      <w:fldChar w:fldCharType="separate"/>
                    </w:r>
                    <w:r>
                      <w:rPr>
                        <w:rFonts w:hint="eastAsia" w:ascii="宋体" w:hAnsi="宋体" w:cs="宋体"/>
                        <w:kern w:val="2"/>
                        <w:sz w:val="18"/>
                      </w:rPr>
                      <w:t>1</w:t>
                    </w:r>
                    <w:r>
                      <w:rPr>
                        <w:rFonts w:hint="eastAsia" w:ascii="宋体" w:hAnsi="宋体" w:cs="宋体"/>
                        <w:kern w:val="2"/>
                        <w:sz w:val="1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017703"/>
    <w:rsid w:val="00086BE2"/>
    <w:rsid w:val="000C66A1"/>
    <w:rsid w:val="00167D51"/>
    <w:rsid w:val="00190783"/>
    <w:rsid w:val="001B583C"/>
    <w:rsid w:val="001B5A18"/>
    <w:rsid w:val="00201DF3"/>
    <w:rsid w:val="002B77E6"/>
    <w:rsid w:val="005268D9"/>
    <w:rsid w:val="006718D0"/>
    <w:rsid w:val="00672756"/>
    <w:rsid w:val="00673425"/>
    <w:rsid w:val="006B63F0"/>
    <w:rsid w:val="00761400"/>
    <w:rsid w:val="007C6746"/>
    <w:rsid w:val="008A41F8"/>
    <w:rsid w:val="00964B10"/>
    <w:rsid w:val="00A24E4F"/>
    <w:rsid w:val="00B2252E"/>
    <w:rsid w:val="00BC664F"/>
    <w:rsid w:val="00BF5D68"/>
    <w:rsid w:val="00C84E0F"/>
    <w:rsid w:val="00D01E41"/>
    <w:rsid w:val="00D04CFC"/>
    <w:rsid w:val="00EE1DBA"/>
    <w:rsid w:val="07ED51B9"/>
    <w:rsid w:val="0C00432C"/>
    <w:rsid w:val="0EED4ABA"/>
    <w:rsid w:val="108823A4"/>
    <w:rsid w:val="123F0D0E"/>
    <w:rsid w:val="19E16554"/>
    <w:rsid w:val="1DE04B1D"/>
    <w:rsid w:val="234052E2"/>
    <w:rsid w:val="24E76918"/>
    <w:rsid w:val="28DC56B8"/>
    <w:rsid w:val="294978E1"/>
    <w:rsid w:val="2951642B"/>
    <w:rsid w:val="297E0FC2"/>
    <w:rsid w:val="32017703"/>
    <w:rsid w:val="35A66E91"/>
    <w:rsid w:val="361C2353"/>
    <w:rsid w:val="368C1680"/>
    <w:rsid w:val="39DC7D6B"/>
    <w:rsid w:val="39E933DD"/>
    <w:rsid w:val="3B6333D9"/>
    <w:rsid w:val="3EDC6977"/>
    <w:rsid w:val="422C1EB1"/>
    <w:rsid w:val="434A150E"/>
    <w:rsid w:val="434D13F6"/>
    <w:rsid w:val="44CA348A"/>
    <w:rsid w:val="45E60BD5"/>
    <w:rsid w:val="46D06667"/>
    <w:rsid w:val="4BDE626D"/>
    <w:rsid w:val="4E1D383B"/>
    <w:rsid w:val="50E502E6"/>
    <w:rsid w:val="535624E4"/>
    <w:rsid w:val="53801D8B"/>
    <w:rsid w:val="54EE1570"/>
    <w:rsid w:val="592C57DA"/>
    <w:rsid w:val="5DE301CD"/>
    <w:rsid w:val="5F71187A"/>
    <w:rsid w:val="60607DAB"/>
    <w:rsid w:val="625E7994"/>
    <w:rsid w:val="65806194"/>
    <w:rsid w:val="666F0CE5"/>
    <w:rsid w:val="67FC684A"/>
    <w:rsid w:val="68B172D0"/>
    <w:rsid w:val="725974A3"/>
    <w:rsid w:val="74425A76"/>
    <w:rsid w:val="74E71A9B"/>
    <w:rsid w:val="78E84DC8"/>
    <w:rsid w:val="7E9F26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4"/>
      <w:szCs w:val="24"/>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7"/>
    <w:qFormat/>
    <w:uiPriority w:val="0"/>
    <w:pPr>
      <w:jc w:val="left"/>
    </w:pPr>
  </w:style>
  <w:style w:type="character" w:styleId="5">
    <w:name w:val="annotation reference"/>
    <w:basedOn w:val="4"/>
    <w:qFormat/>
    <w:uiPriority w:val="0"/>
    <w:rPr>
      <w:sz w:val="21"/>
      <w:szCs w:val="21"/>
    </w:rPr>
  </w:style>
  <w:style w:type="paragraph" w:customStyle="1" w:styleId="6">
    <w:name w:val="Revision"/>
    <w:hidden/>
    <w:unhideWhenUsed/>
    <w:qFormat/>
    <w:uiPriority w:val="99"/>
    <w:rPr>
      <w:rFonts w:ascii="Times New Roman" w:hAnsi="Times New Roman" w:eastAsia="宋体" w:cs="Times New Roman"/>
      <w:sz w:val="24"/>
      <w:szCs w:val="24"/>
      <w:lang w:val="en-US" w:eastAsia="zh-CN" w:bidi="ar-SA"/>
    </w:rPr>
  </w:style>
  <w:style w:type="character" w:customStyle="1" w:styleId="7">
    <w:name w:val="批注文字 字符"/>
    <w:basedOn w:val="4"/>
    <w:link w:val="2"/>
    <w:qFormat/>
    <w:uiPriority w:val="0"/>
    <w:rPr>
      <w:rFonts w:ascii="Times New Roman" w:hAnsi="Times New Roman" w:eastAsia="宋体"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5996</Words>
  <Characters>7983</Characters>
  <Lines>67</Lines>
  <Paragraphs>18</Paragraphs>
  <TotalTime>10</TotalTime>
  <ScaleCrop>false</ScaleCrop>
  <LinksUpToDate>false</LinksUpToDate>
  <CharactersWithSpaces>8521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2024-08-26T01:37:00Z</dcterms:created>
  <dc:creator>QRCB-W</dc:creator>
  <cp:lastModifiedBy>QRCB-W</cp:lastModifiedBy>
  <cp:lastPrinted>2024-08-28T00:42:00Z</cp:lastPrinted>
  <dcterms:modified xsi:type="dcterms:W3CDTF">2026-03-27T02:35:07Z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D50BFA6A3C73440791E4E6204BC63254</vt:lpwstr>
  </property>
</Properties>
</file>