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61B7C">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青岛农村商业银行股份有限公司</w:t>
      </w:r>
    </w:p>
    <w:p w14:paraId="442939B1">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2025年度第三支柱信息披露报告</w:t>
      </w:r>
    </w:p>
    <w:p w14:paraId="7C970660">
      <w:pPr>
        <w:spacing w:line="560" w:lineRule="exact"/>
        <w:ind w:firstLine="640" w:firstLineChars="200"/>
        <w:rPr>
          <w:rFonts w:hint="eastAsia" w:ascii="黑体" w:hAnsi="黑体" w:eastAsia="黑体" w:cs="黑体"/>
          <w:sz w:val="32"/>
          <w:szCs w:val="32"/>
        </w:rPr>
      </w:pPr>
    </w:p>
    <w:p w14:paraId="48DC913A">
      <w:pPr>
        <w:pStyle w:val="2"/>
        <w:ind w:firstLine="640"/>
        <w:rPr>
          <w:rFonts w:hint="eastAsia" w:ascii="黑体" w:hAnsi="黑体" w:eastAsia="黑体" w:cs="黑体"/>
          <w:sz w:val="32"/>
          <w:szCs w:val="32"/>
        </w:rPr>
      </w:pPr>
      <w:r>
        <w:rPr>
          <w:rFonts w:hint="eastAsia" w:ascii="黑体" w:hAnsi="黑体" w:eastAsia="黑体" w:cs="黑体"/>
          <w:sz w:val="32"/>
          <w:szCs w:val="32"/>
        </w:rPr>
        <w:t>一、引言</w:t>
      </w:r>
    </w:p>
    <w:p w14:paraId="50BC3DC1">
      <w:pPr>
        <w:pStyle w:val="2"/>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（一）披露依据</w:t>
      </w:r>
    </w:p>
    <w:p w14:paraId="6099ED3A">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本报告根据国家金融监督管理总局2023年11月发布的《商业银行资本管理办法》（以下简称《资本管理办法》）相关规定编制并披露。</w:t>
      </w:r>
    </w:p>
    <w:p w14:paraId="0C2EBB4A">
      <w:pPr>
        <w:pStyle w:val="2"/>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（二）披露治理架构及内控流程</w:t>
      </w:r>
    </w:p>
    <w:p w14:paraId="77D3CAF7">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本行建立并持续完善第三支柱信息披露体系，形成了组织架构健全、职责边界清晰的第三支柱信息披露治理架构，明确了董事会、监事会、高级管理层、总行各部门和附属机构在第三支柱信息披露中的职责分工，建立了由董事会批准并由高级管理层实施有效的内部控制流程，明确了第三支柱信息披露报告的编制、审议和发布流程，对信息披露内容进行合理审查，确保第三支柱披露信息真实、可靠。</w:t>
      </w:r>
    </w:p>
    <w:p w14:paraId="131E51B5">
      <w:pPr>
        <w:pStyle w:val="2"/>
        <w:ind w:firstLine="640"/>
        <w:rPr>
          <w:rFonts w:hint="eastAsia" w:ascii="黑体" w:hAnsi="黑体" w:eastAsia="黑体" w:cs="黑体"/>
          <w:sz w:val="32"/>
          <w:szCs w:val="32"/>
        </w:rPr>
      </w:pPr>
      <w:r>
        <w:rPr>
          <w:rFonts w:hint="eastAsia" w:ascii="黑体" w:hAnsi="黑体" w:eastAsia="黑体" w:cs="黑体"/>
          <w:sz w:val="32"/>
          <w:szCs w:val="32"/>
        </w:rPr>
        <w:t>二、风险管理、关键审慎监管指标和风险加权资产概览</w:t>
      </w:r>
    </w:p>
    <w:p w14:paraId="0D31367E">
      <w:pPr>
        <w:pStyle w:val="2"/>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（一）监管并表关键审慎监管指标</w:t>
      </w:r>
    </w:p>
    <w:p w14:paraId="340439EB">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截至2025年末，本行核心一级资本充足率为10.07%，一级资本充足率为12.38%，资本充足率为14.06%，杠杆率为7.71%，流动性覆盖率为379.10%，净稳定资金比例为145.38%，流动性比例为108.22%，各项指标均符合监管要求。具体情况如下表所示：</w:t>
      </w:r>
    </w:p>
    <w:p w14:paraId="212EC46A">
      <w:pPr>
        <w:pStyle w:val="2"/>
        <w:ind w:firstLine="0" w:firstLineChars="0"/>
        <w:jc w:val="center"/>
        <w:rPr>
          <w:rFonts w:hint="eastAsia" w:ascii="仿宋_GB2312" w:hAnsi="仿宋_GB2312" w:eastAsia="仿宋_GB2312"/>
          <w:sz w:val="30"/>
          <w:szCs w:val="30"/>
        </w:rPr>
      </w:pPr>
      <w:r>
        <w:rPr>
          <w:rFonts w:hint="eastAsia" w:ascii="仿宋_GB2312" w:hAnsi="仿宋_GB2312" w:eastAsia="仿宋_GB2312"/>
          <w:sz w:val="30"/>
          <w:szCs w:val="30"/>
        </w:rPr>
        <w:t>表1 KM1-监管并表关键审慎监管指标</w:t>
      </w:r>
    </w:p>
    <w:p w14:paraId="1A31DA65">
      <w:pPr>
        <w:pStyle w:val="2"/>
        <w:ind w:firstLine="5500" w:firstLineChars="2500"/>
        <w:rPr>
          <w:rFonts w:hint="eastAsia" w:ascii="仿宋_GB2312" w:hAnsi="仿宋_GB2312" w:eastAsia="仿宋_GB2312"/>
          <w:sz w:val="22"/>
          <w:szCs w:val="22"/>
        </w:rPr>
      </w:pPr>
      <w:r>
        <w:rPr>
          <w:rFonts w:hint="eastAsia" w:ascii="仿宋_GB2312" w:hAnsi="仿宋_GB2312" w:eastAsia="仿宋_GB2312"/>
          <w:sz w:val="22"/>
          <w:szCs w:val="22"/>
        </w:rPr>
        <w:t>单位：人民币千元（百分比除外）</w:t>
      </w:r>
    </w:p>
    <w:tbl>
      <w:tblPr>
        <w:tblStyle w:val="8"/>
        <w:tblW w:w="9196" w:type="dxa"/>
        <w:tblInd w:w="93" w:type="dxa"/>
        <w:tblLayout w:type="fixed"/>
        <w:tblCellMar>
          <w:top w:w="0" w:type="dxa"/>
          <w:left w:w="108" w:type="dxa"/>
          <w:bottom w:w="0" w:type="dxa"/>
          <w:right w:w="108" w:type="dxa"/>
        </w:tblCellMar>
      </w:tblPr>
      <w:tblGrid>
        <w:gridCol w:w="573"/>
        <w:gridCol w:w="2223"/>
        <w:gridCol w:w="1283"/>
        <w:gridCol w:w="1290"/>
        <w:gridCol w:w="1290"/>
        <w:gridCol w:w="1260"/>
        <w:gridCol w:w="1277"/>
      </w:tblGrid>
      <w:tr w14:paraId="6DC3713C">
        <w:tblPrEx>
          <w:tblCellMar>
            <w:top w:w="0" w:type="dxa"/>
            <w:left w:w="108" w:type="dxa"/>
            <w:bottom w:w="0" w:type="dxa"/>
            <w:right w:w="108" w:type="dxa"/>
          </w:tblCellMar>
        </w:tblPrEx>
        <w:trPr>
          <w:trHeight w:val="285" w:hRule="atLeast"/>
        </w:trPr>
        <w:tc>
          <w:tcPr>
            <w:tcW w:w="27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41DE6">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监管并表关键审慎监管指标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C5C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A9E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D73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3FC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T-3</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E3A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T-4</w:t>
            </w:r>
          </w:p>
        </w:tc>
      </w:tr>
      <w:tr w14:paraId="661E5F37">
        <w:tblPrEx>
          <w:tblCellMar>
            <w:top w:w="0" w:type="dxa"/>
            <w:left w:w="108" w:type="dxa"/>
            <w:bottom w:w="0" w:type="dxa"/>
            <w:right w:w="108" w:type="dxa"/>
          </w:tblCellMar>
        </w:tblPrEx>
        <w:trPr>
          <w:trHeight w:val="285" w:hRule="atLeast"/>
        </w:trPr>
        <w:tc>
          <w:tcPr>
            <w:tcW w:w="27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C01A1">
            <w:pPr>
              <w:jc w:val="center"/>
              <w:rPr>
                <w:rFonts w:hint="eastAsia" w:ascii="华文细黑" w:hAnsi="华文细黑" w:eastAsia="华文细黑" w:cs="华文细黑"/>
                <w:color w:val="000000"/>
                <w:sz w:val="18"/>
                <w:szCs w:val="18"/>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80FC">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2025年12月31日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3B5B">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2025年9月30日</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FCFC">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2025年6月30日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0AD2">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2025年3月31日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C168">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2024年12月31日</w:t>
            </w:r>
          </w:p>
        </w:tc>
      </w:tr>
      <w:tr w14:paraId="10072746">
        <w:tblPrEx>
          <w:tblCellMar>
            <w:top w:w="0" w:type="dxa"/>
            <w:left w:w="108" w:type="dxa"/>
            <w:bottom w:w="0" w:type="dxa"/>
            <w:right w:w="108" w:type="dxa"/>
          </w:tblCellMar>
        </w:tblPrEx>
        <w:trPr>
          <w:trHeight w:val="285" w:hRule="atLeast"/>
        </w:trPr>
        <w:tc>
          <w:tcPr>
            <w:tcW w:w="9196" w:type="dxa"/>
            <w:gridSpan w:val="7"/>
            <w:tcBorders>
              <w:top w:val="single" w:color="000000" w:sz="4" w:space="0"/>
              <w:left w:val="single" w:color="000000" w:sz="4" w:space="0"/>
              <w:bottom w:val="single" w:color="000000" w:sz="4" w:space="0"/>
              <w:right w:val="nil"/>
            </w:tcBorders>
            <w:shd w:val="clear" w:color="auto" w:fill="D9D9D9"/>
            <w:vAlign w:val="center"/>
          </w:tcPr>
          <w:p w14:paraId="3637A6CF">
            <w:pPr>
              <w:widowControl/>
              <w:jc w:val="left"/>
              <w:textAlignment w:val="center"/>
              <w:rPr>
                <w:rFonts w:hint="eastAsia" w:ascii="华文细黑" w:hAnsi="华文细黑" w:eastAsia="华文细黑" w:cs="华文细黑"/>
                <w:b/>
                <w:bCs/>
                <w:color w:val="000000"/>
                <w:sz w:val="18"/>
                <w:szCs w:val="18"/>
              </w:rPr>
            </w:pPr>
            <w:r>
              <w:rPr>
                <w:rFonts w:hint="eastAsia" w:ascii="华文细黑" w:hAnsi="华文细黑" w:eastAsia="华文细黑" w:cs="华文细黑"/>
                <w:b/>
                <w:bCs/>
                <w:color w:val="000000"/>
                <w:kern w:val="0"/>
                <w:sz w:val="18"/>
                <w:szCs w:val="18"/>
                <w:lang w:bidi="ar"/>
              </w:rPr>
              <w:t>可用资本（数额）</w:t>
            </w:r>
          </w:p>
        </w:tc>
      </w:tr>
      <w:tr w14:paraId="1B176948">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5442">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7225">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核心一级资本净额</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CD2E">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34,857,835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5273">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35,525,641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DF77">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34,969,358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C254">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34,221,456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F225">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34,269,354 </w:t>
            </w:r>
          </w:p>
        </w:tc>
      </w:tr>
      <w:tr w14:paraId="05BE261B">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C219">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3C35">
            <w:pPr>
              <w:widowControl/>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一级资本净额</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924D">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42,850,561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4DAA">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45,515,576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6DB7">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39,968,675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E22B">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39,227,698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598C">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39,289,612 </w:t>
            </w:r>
          </w:p>
        </w:tc>
      </w:tr>
      <w:tr w14:paraId="4F517C72">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8FE8">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96AB">
            <w:pPr>
              <w:widowControl/>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资本净额</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DA71">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48,651,768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DCFE">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51,191,616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E219">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45,556,181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D396">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44,829,613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2118">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44,735,496 </w:t>
            </w:r>
          </w:p>
        </w:tc>
      </w:tr>
      <w:tr w14:paraId="5A24BC37">
        <w:tblPrEx>
          <w:tblCellMar>
            <w:top w:w="0" w:type="dxa"/>
            <w:left w:w="108" w:type="dxa"/>
            <w:bottom w:w="0" w:type="dxa"/>
            <w:right w:w="108" w:type="dxa"/>
          </w:tblCellMar>
        </w:tblPrEx>
        <w:trPr>
          <w:trHeight w:val="285" w:hRule="atLeast"/>
        </w:trPr>
        <w:tc>
          <w:tcPr>
            <w:tcW w:w="9196" w:type="dxa"/>
            <w:gridSpan w:val="7"/>
            <w:tcBorders>
              <w:top w:val="single" w:color="000000" w:sz="4" w:space="0"/>
              <w:left w:val="single" w:color="000000" w:sz="4" w:space="0"/>
              <w:bottom w:val="single" w:color="000000" w:sz="4" w:space="0"/>
              <w:right w:val="nil"/>
            </w:tcBorders>
            <w:shd w:val="clear" w:color="auto" w:fill="D9D9D9"/>
            <w:vAlign w:val="center"/>
          </w:tcPr>
          <w:p w14:paraId="041FFC75">
            <w:pPr>
              <w:widowControl/>
              <w:jc w:val="left"/>
              <w:textAlignment w:val="center"/>
              <w:rPr>
                <w:rFonts w:hint="eastAsia" w:ascii="华文细黑" w:hAnsi="华文细黑" w:eastAsia="华文细黑" w:cs="华文细黑"/>
                <w:b/>
                <w:bCs/>
                <w:color w:val="000000"/>
                <w:sz w:val="18"/>
                <w:szCs w:val="18"/>
              </w:rPr>
            </w:pPr>
            <w:r>
              <w:rPr>
                <w:rFonts w:hint="eastAsia" w:ascii="华文细黑" w:hAnsi="华文细黑" w:eastAsia="华文细黑" w:cs="华文细黑"/>
                <w:b/>
                <w:bCs/>
                <w:color w:val="000000"/>
                <w:kern w:val="0"/>
                <w:sz w:val="18"/>
                <w:szCs w:val="18"/>
                <w:lang w:bidi="ar"/>
              </w:rPr>
              <w:t>风险加权资产（数额）</w:t>
            </w:r>
          </w:p>
        </w:tc>
      </w:tr>
      <w:tr w14:paraId="1078CCEA">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6E29">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4</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EF1D">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风险加权资产</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0BAB">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346,069,563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7AAE">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332,937,922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6411">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330,657,445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A795">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333,317,560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DCF0">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320,364,879 </w:t>
            </w:r>
          </w:p>
        </w:tc>
      </w:tr>
      <w:tr w14:paraId="65B7D330">
        <w:tblPrEx>
          <w:tblCellMar>
            <w:top w:w="0" w:type="dxa"/>
            <w:left w:w="108" w:type="dxa"/>
            <w:bottom w:w="0" w:type="dxa"/>
            <w:right w:w="108" w:type="dxa"/>
          </w:tblCellMar>
        </w:tblPrEx>
        <w:trPr>
          <w:trHeight w:val="285" w:hRule="atLeast"/>
        </w:trPr>
        <w:tc>
          <w:tcPr>
            <w:tcW w:w="9196" w:type="dxa"/>
            <w:gridSpan w:val="7"/>
            <w:tcBorders>
              <w:top w:val="single" w:color="000000" w:sz="4" w:space="0"/>
              <w:left w:val="single" w:color="000000" w:sz="4" w:space="0"/>
              <w:bottom w:val="single" w:color="000000" w:sz="4" w:space="0"/>
              <w:right w:val="nil"/>
            </w:tcBorders>
            <w:shd w:val="clear" w:color="auto" w:fill="D9D9D9"/>
            <w:vAlign w:val="center"/>
          </w:tcPr>
          <w:p w14:paraId="0559EBCD">
            <w:pPr>
              <w:widowControl/>
              <w:jc w:val="left"/>
              <w:textAlignment w:val="center"/>
              <w:rPr>
                <w:rFonts w:hint="eastAsia" w:ascii="华文细黑" w:hAnsi="华文细黑" w:eastAsia="华文细黑" w:cs="华文细黑"/>
                <w:b/>
                <w:bCs/>
                <w:color w:val="000000"/>
                <w:sz w:val="18"/>
                <w:szCs w:val="18"/>
              </w:rPr>
            </w:pPr>
            <w:r>
              <w:rPr>
                <w:rFonts w:hint="eastAsia" w:ascii="华文细黑" w:hAnsi="华文细黑" w:eastAsia="华文细黑" w:cs="华文细黑"/>
                <w:b/>
                <w:bCs/>
                <w:color w:val="000000"/>
                <w:kern w:val="0"/>
                <w:sz w:val="18"/>
                <w:szCs w:val="18"/>
                <w:lang w:bidi="ar"/>
              </w:rPr>
              <w:t>资本充足率</w:t>
            </w:r>
          </w:p>
        </w:tc>
      </w:tr>
      <w:tr w14:paraId="7DD22BF2">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CFB9">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5</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CCA3">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核心一级资本充足率（%）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80A6">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4ED4">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10.67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CB7F">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10.58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8E9E">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10.27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282E">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10.70 </w:t>
            </w:r>
          </w:p>
        </w:tc>
      </w:tr>
      <w:tr w14:paraId="3BB2B37E">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EECF">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6</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3378">
            <w:pPr>
              <w:widowControl/>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一级资本充足率（%）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CD6C3F">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12.38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BE7BB7">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13.67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9CD241">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12.09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3AD8FC">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11.77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2AEE">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12.26 </w:t>
            </w:r>
          </w:p>
        </w:tc>
      </w:tr>
      <w:tr w14:paraId="1FC08DA3">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CA1B">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7</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45C7">
            <w:pPr>
              <w:widowControl/>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资本充足率（%）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BA035">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14.06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E04F1">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15.38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07CC6">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13.78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0F8F11">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13.45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88E5">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13.96 </w:t>
            </w:r>
          </w:p>
        </w:tc>
      </w:tr>
      <w:tr w14:paraId="47BF1E07">
        <w:tblPrEx>
          <w:tblCellMar>
            <w:top w:w="0" w:type="dxa"/>
            <w:left w:w="108" w:type="dxa"/>
            <w:bottom w:w="0" w:type="dxa"/>
            <w:right w:w="108" w:type="dxa"/>
          </w:tblCellMar>
        </w:tblPrEx>
        <w:trPr>
          <w:trHeight w:val="285" w:hRule="atLeast"/>
        </w:trPr>
        <w:tc>
          <w:tcPr>
            <w:tcW w:w="9196" w:type="dxa"/>
            <w:gridSpan w:val="7"/>
            <w:tcBorders>
              <w:top w:val="single" w:color="000000" w:sz="4" w:space="0"/>
              <w:left w:val="single" w:color="000000" w:sz="4" w:space="0"/>
              <w:bottom w:val="single" w:color="000000" w:sz="4" w:space="0"/>
              <w:right w:val="nil"/>
            </w:tcBorders>
            <w:shd w:val="clear" w:color="auto" w:fill="D9D9D9"/>
            <w:vAlign w:val="center"/>
          </w:tcPr>
          <w:p w14:paraId="390674E4">
            <w:pPr>
              <w:widowControl/>
              <w:jc w:val="left"/>
              <w:textAlignment w:val="center"/>
              <w:rPr>
                <w:rFonts w:hint="eastAsia" w:ascii="华文细黑" w:hAnsi="华文细黑" w:eastAsia="华文细黑" w:cs="华文细黑"/>
                <w:b/>
                <w:bCs/>
                <w:color w:val="000000"/>
                <w:sz w:val="18"/>
                <w:szCs w:val="18"/>
              </w:rPr>
            </w:pPr>
            <w:r>
              <w:rPr>
                <w:rFonts w:hint="eastAsia" w:ascii="华文细黑" w:hAnsi="华文细黑" w:eastAsia="华文细黑" w:cs="华文细黑"/>
                <w:b/>
                <w:bCs/>
                <w:color w:val="000000"/>
                <w:kern w:val="0"/>
                <w:sz w:val="18"/>
                <w:szCs w:val="18"/>
                <w:lang w:bidi="ar"/>
              </w:rPr>
              <w:t>其他各级资本要求</w:t>
            </w:r>
          </w:p>
        </w:tc>
      </w:tr>
      <w:tr w14:paraId="2C7F28AD">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CC29">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8</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FDA9">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储备资本要求（%）</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2226">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D8E7">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129A">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5B04">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F95D5A">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2.5</w:t>
            </w:r>
          </w:p>
        </w:tc>
      </w:tr>
      <w:tr w14:paraId="3E94FE31">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4CAA">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9</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EB19">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逆周期资本要求（%）</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1A04">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CF90">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A56D">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0AF0">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93F7A">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0</w:t>
            </w:r>
          </w:p>
        </w:tc>
      </w:tr>
      <w:tr w14:paraId="7537C06A">
        <w:tblPrEx>
          <w:tblCellMar>
            <w:top w:w="0" w:type="dxa"/>
            <w:left w:w="108" w:type="dxa"/>
            <w:bottom w:w="0" w:type="dxa"/>
            <w:right w:w="108" w:type="dxa"/>
          </w:tblCellMar>
        </w:tblPrEx>
        <w:trPr>
          <w:trHeight w:val="76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7397">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10</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673D">
            <w:pPr>
              <w:widowControl/>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全球系统重要性银行或国内系统重要性银行附加资本要求（%）</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3A8A">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不适用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C6DA">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不适用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89D0">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不适用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CAA1">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不适用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42B4">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不适用</w:t>
            </w:r>
          </w:p>
        </w:tc>
      </w:tr>
      <w:tr w14:paraId="02FED367">
        <w:tblPrEx>
          <w:tblCellMar>
            <w:top w:w="0" w:type="dxa"/>
            <w:left w:w="108" w:type="dxa"/>
            <w:bottom w:w="0" w:type="dxa"/>
            <w:right w:w="108" w:type="dxa"/>
          </w:tblCellMar>
        </w:tblPrEx>
        <w:trPr>
          <w:trHeight w:val="51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A69A">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6B24">
            <w:pPr>
              <w:widowControl/>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其他各级资本要求（%）（8+9+10）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140E09">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6B2D77">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BBD890">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FFE34">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77EE54">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2.5</w:t>
            </w:r>
          </w:p>
        </w:tc>
      </w:tr>
      <w:tr w14:paraId="63894EBE">
        <w:tblPrEx>
          <w:tblCellMar>
            <w:top w:w="0" w:type="dxa"/>
            <w:left w:w="108" w:type="dxa"/>
            <w:bottom w:w="0" w:type="dxa"/>
            <w:right w:w="108" w:type="dxa"/>
          </w:tblCellMar>
        </w:tblPrEx>
        <w:trPr>
          <w:trHeight w:val="76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C374">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F2FE">
            <w:pPr>
              <w:widowControl/>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满足最低资本要求后的可用核心一级资本净额占风险加权资产的比例（%）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B4A712">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5.07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7A3FF3">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5.67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F41B21">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5.58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C19043">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5.27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C83AEB">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5.7</w:t>
            </w:r>
          </w:p>
        </w:tc>
      </w:tr>
      <w:tr w14:paraId="549862BF">
        <w:tblPrEx>
          <w:tblCellMar>
            <w:top w:w="0" w:type="dxa"/>
            <w:left w:w="108" w:type="dxa"/>
            <w:bottom w:w="0" w:type="dxa"/>
            <w:right w:w="108" w:type="dxa"/>
          </w:tblCellMar>
        </w:tblPrEx>
        <w:trPr>
          <w:trHeight w:val="285" w:hRule="atLeast"/>
        </w:trPr>
        <w:tc>
          <w:tcPr>
            <w:tcW w:w="9196" w:type="dxa"/>
            <w:gridSpan w:val="7"/>
            <w:tcBorders>
              <w:top w:val="single" w:color="000000" w:sz="4" w:space="0"/>
              <w:left w:val="single" w:color="000000" w:sz="4" w:space="0"/>
              <w:bottom w:val="single" w:color="000000" w:sz="4" w:space="0"/>
              <w:right w:val="nil"/>
            </w:tcBorders>
            <w:shd w:val="clear" w:color="auto" w:fill="D9D9D9"/>
            <w:vAlign w:val="center"/>
          </w:tcPr>
          <w:p w14:paraId="259EB527">
            <w:pPr>
              <w:widowControl/>
              <w:jc w:val="left"/>
              <w:textAlignment w:val="center"/>
              <w:rPr>
                <w:rFonts w:hint="eastAsia" w:ascii="华文细黑" w:hAnsi="华文细黑" w:eastAsia="华文细黑" w:cs="华文细黑"/>
                <w:b/>
                <w:bCs/>
                <w:color w:val="000000"/>
                <w:sz w:val="18"/>
                <w:szCs w:val="18"/>
              </w:rPr>
            </w:pPr>
            <w:r>
              <w:rPr>
                <w:rFonts w:hint="eastAsia" w:ascii="华文细黑" w:hAnsi="华文细黑" w:eastAsia="华文细黑" w:cs="华文细黑"/>
                <w:b/>
                <w:bCs/>
                <w:color w:val="000000"/>
                <w:kern w:val="0"/>
                <w:sz w:val="18"/>
                <w:szCs w:val="18"/>
                <w:lang w:bidi="ar"/>
              </w:rPr>
              <w:t>杠杆率</w:t>
            </w:r>
          </w:p>
        </w:tc>
      </w:tr>
      <w:tr w14:paraId="44314851">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2176">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912C">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调整后表内外资产余额</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0EA4">
            <w:pPr>
              <w:widowControl/>
              <w:jc w:val="right"/>
              <w:textAlignment w:val="center"/>
              <w:rPr>
                <w:rFonts w:hint="eastAsia"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 xml:space="preserve">555,713,322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7241">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558,879,043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2F28">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549,836,198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01FF">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569,145,896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8635">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524,556,283 </w:t>
            </w:r>
          </w:p>
        </w:tc>
      </w:tr>
      <w:tr w14:paraId="1C6FCE22">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1395">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14</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11E5">
            <w:pPr>
              <w:widowControl/>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杠杆率（%）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776511">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7.71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6D2613">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8.14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5A8C22">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7.27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BEB70A">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6.89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C76F">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7.49 </w:t>
            </w:r>
          </w:p>
        </w:tc>
      </w:tr>
      <w:tr w14:paraId="4DBBF11C">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BBE8">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14a</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66AF">
            <w:pPr>
              <w:widowControl/>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杠杆率a（%）</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4C1248">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7.71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660B4E">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8.14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C7D30">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7.27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EB69B6">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6.89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4BB3">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7.49 </w:t>
            </w:r>
          </w:p>
        </w:tc>
      </w:tr>
      <w:tr w14:paraId="13669887">
        <w:tblPrEx>
          <w:tblCellMar>
            <w:top w:w="0" w:type="dxa"/>
            <w:left w:w="108" w:type="dxa"/>
            <w:bottom w:w="0" w:type="dxa"/>
            <w:right w:w="108" w:type="dxa"/>
          </w:tblCellMar>
        </w:tblPrEx>
        <w:trPr>
          <w:trHeight w:val="285" w:hRule="atLeast"/>
        </w:trPr>
        <w:tc>
          <w:tcPr>
            <w:tcW w:w="9196" w:type="dxa"/>
            <w:gridSpan w:val="7"/>
            <w:tcBorders>
              <w:top w:val="single" w:color="000000" w:sz="4" w:space="0"/>
              <w:left w:val="single" w:color="000000" w:sz="4" w:space="0"/>
              <w:bottom w:val="single" w:color="000000" w:sz="4" w:space="0"/>
              <w:right w:val="nil"/>
            </w:tcBorders>
            <w:shd w:val="clear" w:color="auto" w:fill="D9D9D9"/>
            <w:vAlign w:val="center"/>
          </w:tcPr>
          <w:p w14:paraId="3E1DAC45">
            <w:pPr>
              <w:widowControl/>
              <w:jc w:val="left"/>
              <w:textAlignment w:val="center"/>
              <w:rPr>
                <w:rFonts w:hint="eastAsia" w:ascii="华文细黑" w:hAnsi="华文细黑" w:eastAsia="华文细黑" w:cs="华文细黑"/>
                <w:b/>
                <w:bCs/>
                <w:color w:val="000000"/>
                <w:sz w:val="18"/>
                <w:szCs w:val="18"/>
              </w:rPr>
            </w:pPr>
            <w:r>
              <w:rPr>
                <w:rFonts w:hint="eastAsia" w:ascii="华文细黑" w:hAnsi="华文细黑" w:eastAsia="华文细黑" w:cs="华文细黑"/>
                <w:b/>
                <w:bCs/>
                <w:color w:val="000000"/>
                <w:kern w:val="0"/>
                <w:sz w:val="18"/>
                <w:szCs w:val="18"/>
                <w:lang w:bidi="ar"/>
              </w:rPr>
              <w:t>流动性覆盖率</w:t>
            </w:r>
          </w:p>
        </w:tc>
      </w:tr>
      <w:tr w14:paraId="15751953">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3521">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15</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14C5">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合格优质流动性资产</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A4FA">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54,138,666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FBBE">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75,823,372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513C">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58,052,265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40E3">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61,073,724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395A">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53,429,257 </w:t>
            </w:r>
          </w:p>
        </w:tc>
      </w:tr>
      <w:tr w14:paraId="15D87550">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40B8">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16</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BC32">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现金净流出量</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8C79">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14,281,026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F4A6">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24,150,771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2CFD">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16,638,469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D7F3">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23,438,374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70A6">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14,531,526 </w:t>
            </w:r>
          </w:p>
        </w:tc>
      </w:tr>
      <w:tr w14:paraId="54A37D92">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2BD8">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17</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D6A2">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流动性覆盖率（%）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3DE488">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379.10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7533E3">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313.96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45652">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348.90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804CDF">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260.57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11F2FC">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367.68</w:t>
            </w:r>
          </w:p>
        </w:tc>
      </w:tr>
      <w:tr w14:paraId="0902C0EE">
        <w:tblPrEx>
          <w:tblCellMar>
            <w:top w:w="0" w:type="dxa"/>
            <w:left w:w="108" w:type="dxa"/>
            <w:bottom w:w="0" w:type="dxa"/>
            <w:right w:w="108" w:type="dxa"/>
          </w:tblCellMar>
        </w:tblPrEx>
        <w:trPr>
          <w:trHeight w:val="285" w:hRule="atLeast"/>
        </w:trPr>
        <w:tc>
          <w:tcPr>
            <w:tcW w:w="9196" w:type="dxa"/>
            <w:gridSpan w:val="7"/>
            <w:tcBorders>
              <w:top w:val="single" w:color="000000" w:sz="4" w:space="0"/>
              <w:left w:val="single" w:color="000000" w:sz="4" w:space="0"/>
              <w:bottom w:val="single" w:color="000000" w:sz="4" w:space="0"/>
              <w:right w:val="nil"/>
            </w:tcBorders>
            <w:shd w:val="clear" w:color="auto" w:fill="D9D9D9"/>
            <w:vAlign w:val="center"/>
          </w:tcPr>
          <w:p w14:paraId="1F152395">
            <w:pPr>
              <w:widowControl/>
              <w:jc w:val="left"/>
              <w:textAlignment w:val="center"/>
              <w:rPr>
                <w:rFonts w:hint="eastAsia" w:ascii="华文细黑" w:hAnsi="华文细黑" w:eastAsia="华文细黑" w:cs="华文细黑"/>
                <w:b/>
                <w:bCs/>
                <w:color w:val="000000"/>
                <w:sz w:val="18"/>
                <w:szCs w:val="18"/>
              </w:rPr>
            </w:pPr>
            <w:r>
              <w:rPr>
                <w:rFonts w:hint="eastAsia" w:ascii="华文细黑" w:hAnsi="华文细黑" w:eastAsia="华文细黑" w:cs="华文细黑"/>
                <w:b/>
                <w:bCs/>
                <w:color w:val="000000"/>
                <w:kern w:val="0"/>
                <w:sz w:val="18"/>
                <w:szCs w:val="18"/>
                <w:lang w:bidi="ar"/>
              </w:rPr>
              <w:t>净稳定资金比例</w:t>
            </w:r>
          </w:p>
        </w:tc>
      </w:tr>
      <w:tr w14:paraId="6C52E00A">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2DF9">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18</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7630">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可用稳定资金合计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C2E9">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348,057,417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5CAF">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352,149,744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58C0">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349,135,180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99EA">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348,270,371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6986">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338,864,419 </w:t>
            </w:r>
          </w:p>
        </w:tc>
      </w:tr>
      <w:tr w14:paraId="320BE2CD">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DFD6">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19</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E67C">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所需稳定资金合计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29C4">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239,417,522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34D2">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241,532,780 </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365A">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244,332,993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0145">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245,651,272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A788">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238,928,331 </w:t>
            </w:r>
          </w:p>
        </w:tc>
      </w:tr>
      <w:tr w14:paraId="3E044F4B">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9683">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20</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D05F">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净稳定资金比例（%）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808981">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145.38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27EE28">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145.8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E85BA1">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142.89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102D4A">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141.77</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A66F2F">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141.83</w:t>
            </w:r>
          </w:p>
        </w:tc>
      </w:tr>
      <w:tr w14:paraId="53D3437D">
        <w:tblPrEx>
          <w:tblCellMar>
            <w:top w:w="0" w:type="dxa"/>
            <w:left w:w="108" w:type="dxa"/>
            <w:bottom w:w="0" w:type="dxa"/>
            <w:right w:w="108" w:type="dxa"/>
          </w:tblCellMar>
        </w:tblPrEx>
        <w:trPr>
          <w:trHeight w:val="285" w:hRule="atLeast"/>
        </w:trPr>
        <w:tc>
          <w:tcPr>
            <w:tcW w:w="9196" w:type="dxa"/>
            <w:gridSpan w:val="7"/>
            <w:tcBorders>
              <w:top w:val="single" w:color="000000" w:sz="4" w:space="0"/>
              <w:left w:val="single" w:color="000000" w:sz="4" w:space="0"/>
              <w:bottom w:val="single" w:color="000000" w:sz="4" w:space="0"/>
              <w:right w:val="nil"/>
            </w:tcBorders>
            <w:shd w:val="clear" w:color="auto" w:fill="D9D9D9"/>
            <w:vAlign w:val="center"/>
          </w:tcPr>
          <w:p w14:paraId="4662B554">
            <w:pPr>
              <w:widowControl/>
              <w:jc w:val="left"/>
              <w:textAlignment w:val="center"/>
              <w:rPr>
                <w:rFonts w:hint="eastAsia" w:ascii="华文细黑" w:hAnsi="华文细黑" w:eastAsia="华文细黑" w:cs="华文细黑"/>
                <w:b/>
                <w:bCs/>
                <w:color w:val="000000"/>
                <w:sz w:val="18"/>
                <w:szCs w:val="18"/>
              </w:rPr>
            </w:pPr>
            <w:r>
              <w:rPr>
                <w:rFonts w:hint="eastAsia" w:ascii="华文细黑" w:hAnsi="华文细黑" w:eastAsia="华文细黑" w:cs="华文细黑"/>
                <w:b/>
                <w:bCs/>
                <w:color w:val="000000"/>
                <w:kern w:val="0"/>
                <w:sz w:val="18"/>
                <w:szCs w:val="18"/>
                <w:lang w:bidi="ar"/>
              </w:rPr>
              <w:t>流动性比例</w:t>
            </w:r>
          </w:p>
        </w:tc>
      </w:tr>
      <w:tr w14:paraId="555C14B6">
        <w:tblPrEx>
          <w:tblCellMar>
            <w:top w:w="0" w:type="dxa"/>
            <w:left w:w="108" w:type="dxa"/>
            <w:bottom w:w="0" w:type="dxa"/>
            <w:right w:w="108" w:type="dxa"/>
          </w:tblCellMar>
        </w:tblPrEx>
        <w:trPr>
          <w:trHeight w:val="285"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E26E">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95DC">
            <w:pPr>
              <w:widowControl/>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流动性比例（%）</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011B87">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108.22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89AE29">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104.21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EB2381">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95.27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BDBFB6">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80.78</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709DA2">
            <w:pPr>
              <w:widowControl/>
              <w:jc w:val="right"/>
              <w:textAlignment w:val="bottom"/>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104.51</w:t>
            </w:r>
          </w:p>
        </w:tc>
      </w:tr>
    </w:tbl>
    <w:p w14:paraId="4893612F">
      <w:pPr>
        <w:pStyle w:val="2"/>
        <w:ind w:firstLine="0" w:firstLineChars="0"/>
        <w:rPr>
          <w:rFonts w:hint="eastAsia" w:ascii="仿宋_GB2312" w:hAnsi="仿宋_GB2312" w:eastAsia="仿宋_GB2312"/>
          <w:sz w:val="32"/>
          <w:szCs w:val="32"/>
        </w:rPr>
      </w:pPr>
    </w:p>
    <w:p w14:paraId="59042476">
      <w:pPr>
        <w:pStyle w:val="2"/>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（二）风险管理定性信息</w:t>
      </w:r>
    </w:p>
    <w:p w14:paraId="0EF79B49">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本章节根据《资本管理办法》附件22中表格OVA的内容要求，披露风险管理目标、政策以及内部资本充足评估情况等定性信息。</w:t>
      </w:r>
    </w:p>
    <w:p w14:paraId="4C0CFFE2">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1.风险管理目标及政策</w:t>
      </w:r>
    </w:p>
    <w:p w14:paraId="29C15C11">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（1）业务模式及整体风险状况</w:t>
      </w:r>
    </w:p>
    <w:p w14:paraId="79F5BF48">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本行以“合规、稳健、主动、全面”的风险文化为指引，将风险偏好作为战略实施的核心锚点，持续深化“业务模式－风险状况－风险容忍度”三位一体的动态平衡机制。本行依托统一的风险偏好框架科学制定经营目标，严格实施风险限额管理，系统推进风险识别、计量、监测与控制的全流程优化。日常运营中，本行坚持风险、收益与资本投入相匹配，遵循“风险由资本覆盖”理念，依托三道防线协同运作，将风险管理深度融入业务全生命周期。该机制促成了风险治理与业务的深度融合，风险监测结果对业务策略形成刚性约束，确保业务拓展与风险承受力相适配。董事会批准的风险容忍度作为战略校准关键参数，为业务划定清晰底线并形成双向反馈。依托垂直治理架构，风险偏好自上而下嵌入决策，风险状况自下而上驱动战略优化，全面夯实稳健经营根基。</w:t>
      </w:r>
    </w:p>
    <w:p w14:paraId="63B81574">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（2）风险治理架构</w:t>
      </w:r>
    </w:p>
    <w:p w14:paraId="281BFD5A">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本行构建了以董事会为最高决策机构、高级管理层为执行主体、各职能部门协同联动的风险治理架构。董事会承担风险治理最终责任，通过风险管理与关联交易控制委员会、审计委员会等专门委员会，统筹监督全行风险政策制定与执行，确保风险偏好与战略目标动态适配，并定期结合宏观环境评估调整。高级管理层向董事会负责，将管理策略转化为具体执行方案，依托资产负债管理委员会等议事协调机制推进全流程管理。同时，本行持续优化三道防线防控体系：第一道防线由业务部门承担前端识别与自主管理，落实风控第一责任；第二道防线由风险合规等部门统筹，通过限额管理与独立评估强化系统性管控；第三道防线由审计部实施独立监督与常态化检验。三道防线依托信息共享形成管理闭环，显著提升了整体风险应对效能。</w:t>
      </w:r>
    </w:p>
    <w:p w14:paraId="54D322FC">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（3）风险文化传递途径</w:t>
      </w:r>
    </w:p>
    <w:p w14:paraId="42F20DB7">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本行致力于构建风险文化传递长效机制，将风险理念内化为全员一致行动。制度规范层面，以《员工违规行为处理办法》《信贷合规手册》等文件为依托，明确风险底线并定期更新以顺应监管环境变化。管控机制层面，全面推行风险早期预警与分层分级干预，针对不同暴露阶段实施差异化策略，前置防控关口。信贷业务层面，依托“三位一体”管理模式，构建横向平行制约与纵向垂直制约的审贷分离机制，实现全流程权责清晰。此外，本行依托三道防线协同强化跨部门信息共享与联合处置；针对违规事项建立严肃问责、警示教育及整改评估机制，督促多部门联合优化流程，促使风险文化深度融入经营决策与全员规范。</w:t>
      </w:r>
    </w:p>
    <w:p w14:paraId="5B04FC19">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（4）风险计量体系的计量范围和主要特点</w:t>
      </w:r>
    </w:p>
    <w:p w14:paraId="69482405">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本行严格遵循最新监管要求，采用权重法、简化标准法和基本指标法分别计量信用、市场及操作风险，确保资本计量的审慎合规。信用风险方面，对表内外资产实施全覆盖，严格执行风险权重并发挥合格缓释工具对资本的优化作用；市场风险方面，按标准分别计量利率、汇率等风险因子，全面覆盖交易账簿与银行账簿头寸；操作风险基于收入比例计提资本，结合历史损失分析强化事件管理。本行风险计量体系呈现合规审慎、标准统一的特点，通过定期模型验证与数据质量治理，持续提升资本计量的准确性，为客观决策提供坚实数据支撑。</w:t>
      </w:r>
    </w:p>
    <w:p w14:paraId="0F9AC4F6">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（5）风险报告的流程</w:t>
      </w:r>
    </w:p>
    <w:p w14:paraId="3F82CF7C">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本行建立健全了全面风险管理报告体系，明确了各类报告的内容规范、报送频率与流转路径。构建纵向贯通、横向协同的双维机制，形成条块结合的信息共享网络，确保风险信息及时传递至相关决策层。该体系针对董事会、高管层等部门实施差异化报告安排，内容涵盖整体风险状况、偏好执行情况及资本充足性等核心要素。其中，全面风险管理报告由总行风险部门牵头，经高管层审议后提交董事会专委会及董事会最终审定。针对重大突发风险，设有直达决策层的专项通道，确保隐患得到有效处置。</w:t>
      </w:r>
    </w:p>
    <w:p w14:paraId="185E91C7">
      <w:pPr>
        <w:pStyle w:val="2"/>
        <w:numPr>
          <w:ilvl w:val="255"/>
          <w:numId w:val="0"/>
        </w:numPr>
        <w:ind w:firstLine="640"/>
        <w:rPr>
          <w:rFonts w:hint="eastAsia" w:ascii="仿宋_GB2312" w:hAnsi="仿宋_GB2312" w:eastAsia="仿宋_GB2312"/>
          <w:sz w:val="32"/>
          <w:szCs w:val="32"/>
        </w:rPr>
      </w:pPr>
      <w:r>
        <w:rPr>
          <w:rFonts w:hint="eastAsia" w:ascii="仿宋_GB2312" w:hAnsi="仿宋_GB2312" w:eastAsia="仿宋_GB2312"/>
          <w:sz w:val="32"/>
          <w:szCs w:val="32"/>
        </w:rPr>
        <w:t>（6）压力测试情况</w:t>
      </w:r>
    </w:p>
    <w:p w14:paraId="7F0B4EF0">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本行构建了多维度压力测试框架，采用定量与定性结合方式，系统评估极端情景对资本充足水平及关键指标的潜在冲击。信用风险测试结合宏观变量设置不良率上升等情景，评估资本影响；市场风险测试量化利率汇率变动引发的组合价值变动；流动性风险基于客户结构模拟现金流缺口，确保最短生存期达标。测试结果应用于限额调整与资本规划。结合区域特色，重点强化对涉农、小微企业等领域的因子适配分析，进一步提升整体经营韧性。</w:t>
      </w:r>
    </w:p>
    <w:p w14:paraId="6FE0509C">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（7）识别、计量、监测、缓释和控制风险的策略及流程</w:t>
      </w:r>
    </w:p>
    <w:p w14:paraId="0B816198">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本行构建了与业务规模及风险状况动态适配的全面风险管理闭环流程，持续深化风险管控机制的迭代优化。在顶层设计上，本行明确风险偏好与授信政策，统筹风险定价、限额管理与组合配置，建立风险与业务高效联动的协同机制。在执行层面，依托集约化经营模式，形成覆盖事前风险评估、事中动态监控、事后预警及处置的全流程管理闭环，并通过专业化风控团队实现风险的差异化精准管控。2025年，本行持续深化风险管理的数字化转型，上线企业级风控决策引擎，深度挖掘大数据与人工智能等底层技术在风险计量、监测预警系统中的应用价值，提升了风险识别的敏锐度与风险缓释能力。</w:t>
      </w:r>
    </w:p>
    <w:p w14:paraId="7D89AD80">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2.内部资本充足评估的方法和程序</w:t>
      </w:r>
    </w:p>
    <w:p w14:paraId="25D20AED">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本行内部资本充足评估程序包括公司治理架构、主要风险识别与评估、资本规划、压力测试、风险加总、资本应急预案、监测与报告等环节。在综合评估银行所面临的各类主要风险基础上，以中长期资本规划为指引，衡量资本与风险的匹配水平，妥善处理资本使用和业务发展关系，评估资本补充能力，确保在不同市场环境下持续保持与自身风险状况相适应的资本水平。本行按年实施内部资本充足评估程序、定期监测报告机制及内部审计。2025年，本行完善内部管理制度，风险和资本治理架构合理、流程清晰、有效管控各类风险，资本水平与经营状况、风险变化趋势和长期发展战略匹配，可充分覆盖各类风险，支持业务可持续发展。</w:t>
      </w:r>
    </w:p>
    <w:p w14:paraId="05F9F0A8">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3.资本规划和资本充足率管理计划</w:t>
      </w:r>
    </w:p>
    <w:p w14:paraId="6092063D">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本行根据《商业银行资本管理办法》的要求，制定了《青岛农商银行2025-2027年资本规划》，经董事会审议通过。规划在综合考虑改革转型、风险偏好、业务发展、未来资本需求、监管资本要求和资本可获得性的基础上，合理设定未来三年资本充足水平管理目标。本行坚持内源性资本在资本补充中的基础地位，以利润留存、资本公积、盈余公积等内源性方式为主补充资本，提高资本补充来源的长期可持续性，以内延式增长推动高质量发展。同时，根据监管规定和资本市场情况，提高资本工具管理的前瞻性，积极探索和创新各种外源性融资渠道，确保资本充足水平满足监管要求和本行管理目标，有效支持本行业务可持续发展。</w:t>
      </w:r>
    </w:p>
    <w:p w14:paraId="5D064E9D">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本行在资本规划框架内综合考虑外部经营形势、未来监管趋势、本行战略规划等因素，制定了《青岛农商银行2025年资本充足率管理计划》，实现资本计划与业务计划、财务计划充分衔接。本行积极发挥资本的引导和约束作用，坚持轻资本发展策略，深入推动资本集约化经营和精细化管理，定期对资本充足率进行动态监控、分析和报告，确保各级资本充足率持续满足监管要求和业务发展需要。</w:t>
      </w:r>
    </w:p>
    <w:p w14:paraId="5602D1EC">
      <w:pPr>
        <w:pStyle w:val="2"/>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（三）风险加权资产概览</w:t>
      </w:r>
    </w:p>
    <w:p w14:paraId="453C325C">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本行依据《资本管理办法》计量资本充足率。信用风险加权资产计量采用权重法，市场风险加权资产计量采用简化标准法，操作风险加权资产计量采用基本指标法。截至2025年末，各风险加权资产计量结果如下表所示：</w:t>
      </w:r>
    </w:p>
    <w:p w14:paraId="3164D548">
      <w:pPr>
        <w:pStyle w:val="2"/>
        <w:ind w:firstLine="0" w:firstLineChars="0"/>
        <w:jc w:val="center"/>
        <w:rPr>
          <w:rFonts w:hint="eastAsia" w:ascii="仿宋_GB2312" w:hAnsi="仿宋_GB2312" w:eastAsia="仿宋_GB2312"/>
          <w:sz w:val="30"/>
          <w:szCs w:val="30"/>
        </w:rPr>
      </w:pPr>
      <w:r>
        <w:rPr>
          <w:rFonts w:hint="eastAsia" w:ascii="仿宋_GB2312" w:hAnsi="仿宋_GB2312" w:eastAsia="仿宋_GB2312"/>
          <w:sz w:val="30"/>
          <w:szCs w:val="30"/>
        </w:rPr>
        <w:t>表2 OV1-风险加权资产概览</w:t>
      </w:r>
    </w:p>
    <w:p w14:paraId="0456E72E">
      <w:pPr>
        <w:pStyle w:val="2"/>
        <w:ind w:firstLine="4620" w:firstLineChars="2100"/>
        <w:rPr>
          <w:rFonts w:hint="eastAsia" w:ascii="仿宋_GB2312" w:hAnsi="仿宋_GB2312" w:eastAsia="仿宋_GB2312"/>
          <w:sz w:val="22"/>
          <w:szCs w:val="22"/>
        </w:rPr>
      </w:pPr>
      <w:r>
        <w:rPr>
          <w:rFonts w:hint="eastAsia" w:ascii="仿宋_GB2312" w:hAnsi="仿宋_GB2312" w:eastAsia="仿宋_GB2312"/>
          <w:sz w:val="22"/>
          <w:szCs w:val="22"/>
        </w:rPr>
        <w:t>单位：人民币千元（百分比除外）</w:t>
      </w:r>
    </w:p>
    <w:tbl>
      <w:tblPr>
        <w:tblStyle w:val="8"/>
        <w:tblW w:w="7820" w:type="dxa"/>
        <w:jc w:val="center"/>
        <w:tblLayout w:type="fixed"/>
        <w:tblCellMar>
          <w:top w:w="15" w:type="dxa"/>
          <w:left w:w="15" w:type="dxa"/>
          <w:bottom w:w="15" w:type="dxa"/>
          <w:right w:w="15" w:type="dxa"/>
        </w:tblCellMar>
      </w:tblPr>
      <w:tblGrid>
        <w:gridCol w:w="527"/>
        <w:gridCol w:w="1905"/>
        <w:gridCol w:w="1630"/>
        <w:gridCol w:w="1920"/>
        <w:gridCol w:w="1838"/>
      </w:tblGrid>
      <w:tr w14:paraId="67B32705">
        <w:tblPrEx>
          <w:tblCellMar>
            <w:top w:w="15" w:type="dxa"/>
            <w:left w:w="15" w:type="dxa"/>
            <w:bottom w:w="15" w:type="dxa"/>
            <w:right w:w="15" w:type="dxa"/>
          </w:tblCellMar>
        </w:tblPrEx>
        <w:trPr>
          <w:trHeight w:val="285" w:hRule="atLeast"/>
          <w:jc w:val="center"/>
        </w:trPr>
        <w:tc>
          <w:tcPr>
            <w:tcW w:w="24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F6FC9">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风险加权资产概况</w:t>
            </w: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01B9B">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风险加权资产</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DBE1">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最低资本要求</w:t>
            </w:r>
          </w:p>
        </w:tc>
      </w:tr>
      <w:tr w14:paraId="751047F9">
        <w:tblPrEx>
          <w:tblCellMar>
            <w:top w:w="15" w:type="dxa"/>
            <w:left w:w="15" w:type="dxa"/>
            <w:bottom w:w="15" w:type="dxa"/>
            <w:right w:w="15" w:type="dxa"/>
          </w:tblCellMar>
        </w:tblPrEx>
        <w:trPr>
          <w:trHeight w:val="285" w:hRule="atLeast"/>
          <w:jc w:val="center"/>
        </w:trPr>
        <w:tc>
          <w:tcPr>
            <w:tcW w:w="24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CD450">
            <w:pPr>
              <w:jc w:val="center"/>
              <w:rPr>
                <w:rFonts w:hint="eastAsia" w:ascii="华文细黑" w:hAnsi="华文细黑" w:eastAsia="华文细黑" w:cs="华文细黑"/>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F7A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6FE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CD4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w:t>
            </w:r>
          </w:p>
        </w:tc>
      </w:tr>
      <w:tr w14:paraId="3F745A45">
        <w:tblPrEx>
          <w:tblCellMar>
            <w:top w:w="15" w:type="dxa"/>
            <w:left w:w="15" w:type="dxa"/>
            <w:bottom w:w="15" w:type="dxa"/>
            <w:right w:w="15" w:type="dxa"/>
          </w:tblCellMar>
        </w:tblPrEx>
        <w:trPr>
          <w:trHeight w:val="285" w:hRule="atLeast"/>
          <w:jc w:val="center"/>
        </w:trPr>
        <w:tc>
          <w:tcPr>
            <w:tcW w:w="24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603FC">
            <w:pPr>
              <w:jc w:val="center"/>
              <w:rPr>
                <w:rFonts w:hint="eastAsia" w:ascii="华文细黑" w:hAnsi="华文细黑" w:eastAsia="华文细黑" w:cs="华文细黑"/>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9D02">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2025年12月31日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3FD">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2025年9月30日</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37B7">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2025年12月31日</w:t>
            </w:r>
          </w:p>
        </w:tc>
      </w:tr>
      <w:tr w14:paraId="3B709D18">
        <w:tblPrEx>
          <w:tblCellMar>
            <w:top w:w="15" w:type="dxa"/>
            <w:left w:w="15" w:type="dxa"/>
            <w:bottom w:w="15" w:type="dxa"/>
            <w:right w:w="15" w:type="dxa"/>
          </w:tblCellMar>
        </w:tblPrEx>
        <w:trPr>
          <w:trHeight w:val="285"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ED65">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1DD9">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信用风险</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E5DF">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320,245,257 </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8642">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308,316,873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818C">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25,619,621 </w:t>
            </w:r>
          </w:p>
        </w:tc>
      </w:tr>
      <w:tr w14:paraId="48EA6840">
        <w:tblPrEx>
          <w:tblCellMar>
            <w:top w:w="15" w:type="dxa"/>
            <w:left w:w="15" w:type="dxa"/>
            <w:bottom w:w="15" w:type="dxa"/>
            <w:right w:w="15" w:type="dxa"/>
          </w:tblCellMar>
        </w:tblPrEx>
        <w:trPr>
          <w:trHeight w:val="285"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7543">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797C">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市场风险</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6456">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7,278,559 </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0C5D">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5,303,709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0C73">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582,285 </w:t>
            </w:r>
          </w:p>
        </w:tc>
      </w:tr>
      <w:tr w14:paraId="1CFCAD5F">
        <w:tblPrEx>
          <w:tblCellMar>
            <w:top w:w="15" w:type="dxa"/>
            <w:left w:w="15" w:type="dxa"/>
            <w:bottom w:w="15" w:type="dxa"/>
            <w:right w:w="15" w:type="dxa"/>
          </w:tblCellMar>
        </w:tblPrEx>
        <w:trPr>
          <w:trHeight w:val="285"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3C3C">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B399">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操作风险</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BA57">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18,545,747 </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7992">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19,317,340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80FA">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1,483,660 </w:t>
            </w:r>
          </w:p>
        </w:tc>
      </w:tr>
      <w:tr w14:paraId="0AAC3001">
        <w:tblPrEx>
          <w:tblCellMar>
            <w:top w:w="15" w:type="dxa"/>
            <w:left w:w="15" w:type="dxa"/>
            <w:bottom w:w="15" w:type="dxa"/>
            <w:right w:w="15" w:type="dxa"/>
          </w:tblCellMar>
        </w:tblPrEx>
        <w:trPr>
          <w:trHeight w:val="285"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D1FB">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5410">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交易账簿和银行账簿间转换的资本要求</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C766">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 </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68E0">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2487">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 </w:t>
            </w:r>
          </w:p>
        </w:tc>
      </w:tr>
      <w:tr w14:paraId="19F7F4FE">
        <w:tblPrEx>
          <w:tblCellMar>
            <w:top w:w="15" w:type="dxa"/>
            <w:left w:w="15" w:type="dxa"/>
            <w:bottom w:w="15" w:type="dxa"/>
            <w:right w:w="15" w:type="dxa"/>
          </w:tblCellMar>
        </w:tblPrEx>
        <w:trPr>
          <w:trHeight w:val="285" w:hRule="atLeast"/>
          <w:jc w:val="center"/>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4B7E">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CBEF">
            <w:pPr>
              <w:widowControl/>
              <w:textAlignment w:val="center"/>
              <w:rPr>
                <w:rFonts w:hint="eastAsia" w:ascii="华文细黑" w:hAnsi="华文细黑" w:eastAsia="华文细黑" w:cs="华文细黑"/>
                <w:b/>
                <w:color w:val="000000"/>
                <w:sz w:val="18"/>
                <w:szCs w:val="18"/>
              </w:rPr>
            </w:pPr>
            <w:r>
              <w:rPr>
                <w:rFonts w:hint="eastAsia" w:ascii="华文细黑" w:hAnsi="华文细黑" w:eastAsia="华文细黑" w:cs="华文细黑"/>
                <w:b/>
                <w:bCs/>
                <w:color w:val="000000"/>
                <w:kern w:val="0"/>
                <w:sz w:val="18"/>
                <w:szCs w:val="18"/>
                <w:lang w:bidi="ar"/>
              </w:rPr>
              <w:t>合计</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5B48">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346,069,563 </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8942">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332,937,922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9A58">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27,685,566 </w:t>
            </w:r>
          </w:p>
        </w:tc>
      </w:tr>
    </w:tbl>
    <w:p w14:paraId="587E71A3">
      <w:pPr>
        <w:pStyle w:val="2"/>
        <w:ind w:firstLine="640"/>
        <w:rPr>
          <w:rFonts w:hint="eastAsia" w:ascii="黑体" w:hAnsi="黑体" w:eastAsia="黑体" w:cs="黑体"/>
          <w:sz w:val="32"/>
          <w:szCs w:val="32"/>
        </w:rPr>
      </w:pPr>
      <w:r>
        <w:rPr>
          <w:rFonts w:hint="eastAsia" w:ascii="黑体" w:hAnsi="黑体" w:eastAsia="黑体" w:cs="黑体"/>
          <w:sz w:val="32"/>
          <w:szCs w:val="32"/>
        </w:rPr>
        <w:t>三、资本构成</w:t>
      </w:r>
    </w:p>
    <w:p w14:paraId="05DA715B">
      <w:pPr>
        <w:pStyle w:val="2"/>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（一）资本工具的主要特征</w:t>
      </w:r>
    </w:p>
    <w:p w14:paraId="283B5C31">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截至2025年末，本行资本工具包括普通股、无固定期限资本债券及二级资本债。根据《资本管理办法》相关要求，本行单独在官方网站披露《表格CCA-资本工具的主要特征》（详见附件）。官方网站披露位置为“关于我行-投资者关系-资本监管”，相应网址链接如下：</w:t>
      </w:r>
    </w:p>
    <w:p w14:paraId="084C9D1E">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www.qrcb.com.cn/qrcb/tzzgx/jgzb/index.html</w:t>
      </w:r>
    </w:p>
    <w:p w14:paraId="7E344F27">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在资本工具发生赎回、减记、转股或其他重大变化时，本行将及时更新该表格。</w:t>
      </w:r>
    </w:p>
    <w:p w14:paraId="37CD8168">
      <w:pPr>
        <w:pStyle w:val="2"/>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（二）资本构成</w:t>
      </w:r>
    </w:p>
    <w:p w14:paraId="61EA3E88">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截至2025年末，本行根据资本管理办法及相关规定计量的并表资本构成情况如下表所示：</w:t>
      </w:r>
    </w:p>
    <w:p w14:paraId="726DD9BE">
      <w:pPr>
        <w:pStyle w:val="2"/>
        <w:ind w:firstLine="0" w:firstLineChars="0"/>
        <w:jc w:val="center"/>
        <w:rPr>
          <w:rFonts w:hint="eastAsia" w:ascii="仿宋_GB2312" w:hAnsi="仿宋_GB2312" w:eastAsia="仿宋_GB2312"/>
          <w:sz w:val="30"/>
          <w:szCs w:val="30"/>
        </w:rPr>
      </w:pPr>
      <w:r>
        <w:rPr>
          <w:rFonts w:hint="eastAsia" w:ascii="仿宋_GB2312" w:hAnsi="仿宋_GB2312" w:eastAsia="仿宋_GB2312"/>
          <w:sz w:val="30"/>
          <w:szCs w:val="30"/>
        </w:rPr>
        <w:t>表3 CC1-资本构成</w:t>
      </w:r>
    </w:p>
    <w:p w14:paraId="7B475544">
      <w:pPr>
        <w:pStyle w:val="2"/>
        <w:ind w:firstLine="4620" w:firstLineChars="2100"/>
        <w:rPr>
          <w:rFonts w:hint="eastAsia" w:ascii="仿宋_GB2312" w:hAnsi="仿宋_GB2312" w:eastAsia="仿宋_GB2312"/>
          <w:sz w:val="22"/>
          <w:szCs w:val="22"/>
        </w:rPr>
      </w:pPr>
      <w:r>
        <w:rPr>
          <w:rFonts w:hint="eastAsia" w:ascii="仿宋_GB2312" w:hAnsi="仿宋_GB2312" w:eastAsia="仿宋_GB2312"/>
          <w:sz w:val="22"/>
          <w:szCs w:val="22"/>
        </w:rPr>
        <w:t>单位：人民币千元（百分比除外）</w:t>
      </w:r>
    </w:p>
    <w:tbl>
      <w:tblPr>
        <w:tblStyle w:val="8"/>
        <w:tblW w:w="8220" w:type="dxa"/>
        <w:jc w:val="center"/>
        <w:tblLayout w:type="fixed"/>
        <w:tblCellMar>
          <w:top w:w="15" w:type="dxa"/>
          <w:left w:w="15" w:type="dxa"/>
          <w:bottom w:w="15" w:type="dxa"/>
          <w:right w:w="15" w:type="dxa"/>
        </w:tblCellMar>
      </w:tblPr>
      <w:tblGrid>
        <w:gridCol w:w="693"/>
        <w:gridCol w:w="4857"/>
        <w:gridCol w:w="2670"/>
      </w:tblGrid>
      <w:tr w14:paraId="49CBCFA1">
        <w:tblPrEx>
          <w:tblCellMar>
            <w:top w:w="15" w:type="dxa"/>
            <w:left w:w="15" w:type="dxa"/>
            <w:bottom w:w="15" w:type="dxa"/>
            <w:right w:w="15" w:type="dxa"/>
          </w:tblCellMar>
        </w:tblPrEx>
        <w:trPr>
          <w:trHeight w:val="285" w:hRule="atLeast"/>
          <w:jc w:val="center"/>
        </w:trPr>
        <w:tc>
          <w:tcPr>
            <w:tcW w:w="5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F0CA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资本构成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8C1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数额</w:t>
            </w:r>
          </w:p>
        </w:tc>
      </w:tr>
      <w:tr w14:paraId="4EFE1B5E">
        <w:tblPrEx>
          <w:tblCellMar>
            <w:top w:w="15" w:type="dxa"/>
            <w:left w:w="15" w:type="dxa"/>
            <w:bottom w:w="15" w:type="dxa"/>
            <w:right w:w="15" w:type="dxa"/>
          </w:tblCellMar>
        </w:tblPrEx>
        <w:trPr>
          <w:trHeight w:val="285" w:hRule="atLeast"/>
          <w:jc w:val="center"/>
        </w:trPr>
        <w:tc>
          <w:tcPr>
            <w:tcW w:w="8220" w:type="dxa"/>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14:paraId="2AE930B3">
            <w:pPr>
              <w:widowControl/>
              <w:jc w:val="left"/>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核心一级资本</w:t>
            </w:r>
          </w:p>
        </w:tc>
      </w:tr>
      <w:tr w14:paraId="31965E90">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C4E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D75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实收资本和资本公积可计入部分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F7E1">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9,271,624</w:t>
            </w:r>
          </w:p>
        </w:tc>
      </w:tr>
      <w:tr w14:paraId="082527F6">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7C6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36D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留存收益</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8B3A">
            <w:pPr>
              <w:widowControl/>
              <w:jc w:val="right"/>
              <w:textAlignment w:val="center"/>
              <w:rPr>
                <w:rFonts w:hint="eastAsia" w:ascii="宋体" w:hAnsi="宋体" w:eastAsia="宋体" w:cs="宋体"/>
                <w:color w:val="000000"/>
                <w:sz w:val="18"/>
                <w:szCs w:val="18"/>
              </w:rPr>
            </w:pPr>
            <w:r>
              <w:rPr>
                <w:rFonts w:ascii="宋体" w:hAnsi="宋体" w:eastAsia="宋体" w:cs="宋体"/>
                <w:color w:val="000000"/>
                <w:kern w:val="0"/>
                <w:sz w:val="18"/>
                <w:szCs w:val="18"/>
                <w:lang w:bidi="ar"/>
              </w:rPr>
              <w:t>26,791,868</w:t>
            </w:r>
          </w:p>
        </w:tc>
      </w:tr>
      <w:tr w14:paraId="191F7FE4">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AD7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2a</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37F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盈余公积</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1676">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5,690,702</w:t>
            </w:r>
          </w:p>
        </w:tc>
      </w:tr>
      <w:tr w14:paraId="20378CE4">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0B3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2b</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4DF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一般风险准备</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C2AF">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6,917,826</w:t>
            </w:r>
          </w:p>
        </w:tc>
      </w:tr>
      <w:tr w14:paraId="6B6E84A7">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CE1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2c</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F1D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未分配利润</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9D40">
            <w:pPr>
              <w:widowControl/>
              <w:jc w:val="right"/>
              <w:textAlignment w:val="center"/>
              <w:rPr>
                <w:rFonts w:hint="eastAsia" w:ascii="宋体" w:hAnsi="宋体" w:eastAsia="宋体" w:cs="宋体"/>
                <w:color w:val="000000"/>
                <w:sz w:val="18"/>
                <w:szCs w:val="18"/>
              </w:rPr>
            </w:pPr>
            <w:r>
              <w:rPr>
                <w:rFonts w:ascii="宋体" w:hAnsi="宋体" w:eastAsia="宋体" w:cs="宋体"/>
                <w:color w:val="000000"/>
                <w:kern w:val="0"/>
                <w:sz w:val="18"/>
                <w:szCs w:val="18"/>
                <w:lang w:bidi="ar"/>
              </w:rPr>
              <w:t>14,183,340</w:t>
            </w:r>
          </w:p>
        </w:tc>
      </w:tr>
      <w:tr w14:paraId="53E24565">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E3C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B69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累计其他综合收益</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A283">
            <w:pPr>
              <w:widowControl/>
              <w:jc w:val="right"/>
              <w:textAlignment w:val="center"/>
              <w:rPr>
                <w:rFonts w:hint="eastAsia" w:ascii="宋体" w:hAnsi="宋体" w:eastAsia="宋体" w:cs="宋体"/>
                <w:color w:val="000000"/>
                <w:sz w:val="18"/>
                <w:szCs w:val="18"/>
              </w:rPr>
            </w:pPr>
            <w:r>
              <w:rPr>
                <w:rFonts w:ascii="宋体" w:hAnsi="宋体" w:eastAsia="宋体" w:cs="宋体"/>
                <w:color w:val="000000"/>
                <w:kern w:val="0"/>
                <w:sz w:val="18"/>
                <w:szCs w:val="18"/>
                <w:lang w:bidi="ar"/>
              </w:rPr>
              <w:t>1,034,505</w:t>
            </w:r>
          </w:p>
        </w:tc>
      </w:tr>
      <w:tr w14:paraId="56C746B0">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0A4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51A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少数股东资本可计入部分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CB5C">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5C4EE49B">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A59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F2B7">
            <w:pPr>
              <w:widowControl/>
              <w:jc w:val="left"/>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扣除前的核心一级资本</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344B">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37,097,997</w:t>
            </w:r>
          </w:p>
        </w:tc>
      </w:tr>
      <w:tr w14:paraId="281CD7F3">
        <w:tblPrEx>
          <w:tblCellMar>
            <w:top w:w="15" w:type="dxa"/>
            <w:left w:w="15" w:type="dxa"/>
            <w:bottom w:w="15" w:type="dxa"/>
            <w:right w:w="15" w:type="dxa"/>
          </w:tblCellMar>
        </w:tblPrEx>
        <w:trPr>
          <w:trHeight w:val="285" w:hRule="atLeast"/>
          <w:jc w:val="center"/>
        </w:trPr>
        <w:tc>
          <w:tcPr>
            <w:tcW w:w="8220" w:type="dxa"/>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14:paraId="59A4F376">
            <w:pPr>
              <w:widowControl/>
              <w:jc w:val="left"/>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核心一级资本：扣除项</w:t>
            </w:r>
            <w:r>
              <w:rPr>
                <w:rFonts w:hint="eastAsia" w:ascii="宋体" w:hAnsi="宋体" w:eastAsia="宋体" w:cs="宋体"/>
                <w:color w:val="000000"/>
                <w:kern w:val="0"/>
                <w:sz w:val="18"/>
                <w:szCs w:val="18"/>
                <w:lang w:bidi="ar"/>
              </w:rPr>
              <w:t>　</w:t>
            </w:r>
          </w:p>
        </w:tc>
      </w:tr>
      <w:tr w14:paraId="19AB1F01">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563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C2F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审慎估值调整</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2884">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5F48F54B">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350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AC0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商誉（扣除递延税负债）</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875E">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66451234">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176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F6D3">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其他无形资产（土地使用权除外）（扣除递延税负债）</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FB21">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1B63441C">
        <w:tblPrEx>
          <w:tblCellMar>
            <w:top w:w="15" w:type="dxa"/>
            <w:left w:w="15" w:type="dxa"/>
            <w:bottom w:w="15" w:type="dxa"/>
            <w:right w:w="15" w:type="dxa"/>
          </w:tblCellMar>
        </w:tblPrEx>
        <w:trPr>
          <w:trHeight w:val="49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406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EF16">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依赖未来盈利的由经营亏损引起的净递延税资产</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EAE5">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41ED67E1">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B5B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367A">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对未按公允价值计量的项目进行套期形成的现金流储备</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DB35">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44F55030">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049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1D99">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损失准备缺口</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6361">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6571D851">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140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7102">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资产证券化销售利得</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4339">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7D66CDB0">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89D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FFD0">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自身信用风险变化导致其负债公允价值变化带来的未实现损益</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9332">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40643D7D">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C1A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5462">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确定受益类的养老金资产净额（扣除递延税项负债）</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E62E">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68DA6FA4">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C8E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9C8F">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直接或间接持有本银行的股票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E99A">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1CCA73D0">
        <w:tblPrEx>
          <w:tblCellMar>
            <w:top w:w="15" w:type="dxa"/>
            <w:left w:w="15" w:type="dxa"/>
            <w:bottom w:w="15" w:type="dxa"/>
            <w:right w:w="15" w:type="dxa"/>
          </w:tblCellMar>
        </w:tblPrEx>
        <w:trPr>
          <w:trHeight w:val="45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D75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32F7">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银行间或银行与其他金融机构间通过协议相互持有的核心一级资本</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326F">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4D1C8174">
        <w:tblPrEx>
          <w:tblCellMar>
            <w:top w:w="15" w:type="dxa"/>
            <w:left w:w="15" w:type="dxa"/>
            <w:bottom w:w="15" w:type="dxa"/>
            <w:right w:w="15" w:type="dxa"/>
          </w:tblCellMar>
        </w:tblPrEx>
        <w:trPr>
          <w:trHeight w:val="45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C1D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2653">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对未并表金融机构小额少数资本投资中的核心一级资本中应扣除金额</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3A74">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0CEA8C86">
        <w:tblPrEx>
          <w:tblCellMar>
            <w:top w:w="15" w:type="dxa"/>
            <w:left w:w="15" w:type="dxa"/>
            <w:bottom w:w="15" w:type="dxa"/>
            <w:right w:w="15" w:type="dxa"/>
          </w:tblCellMar>
        </w:tblPrEx>
        <w:trPr>
          <w:trHeight w:val="45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2F2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0093">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对未并表金融机构大额少数资本投资中的核心一级资本中应扣除金额</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E896">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4752A03C">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B5D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19</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C5AF">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其他依赖于银行未来盈利的净递延税资产中应扣除金额</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9679">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2,240,162</w:t>
            </w:r>
          </w:p>
        </w:tc>
      </w:tr>
      <w:tr w14:paraId="117A668B">
        <w:tblPrEx>
          <w:tblCellMar>
            <w:top w:w="15" w:type="dxa"/>
            <w:left w:w="15" w:type="dxa"/>
            <w:bottom w:w="15" w:type="dxa"/>
            <w:right w:w="15" w:type="dxa"/>
          </w:tblCellMar>
        </w:tblPrEx>
        <w:trPr>
          <w:trHeight w:val="67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F67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FBF6">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对未并表金融机构大额少数资本投资中的核心一级资本和其他依赖于银行未来盈利的净递延税资产的未扣除部分超过核心一级资本15%的应扣除金额</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B49B">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3DC1FC02">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99D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BC68">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其中：应在对金融机构大额少数资本投资中扣除的金额</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A4B2">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435F71D5">
        <w:tblPrEx>
          <w:tblCellMar>
            <w:top w:w="15" w:type="dxa"/>
            <w:left w:w="15" w:type="dxa"/>
            <w:bottom w:w="15" w:type="dxa"/>
            <w:right w:w="15" w:type="dxa"/>
          </w:tblCellMar>
        </w:tblPrEx>
        <w:trPr>
          <w:trHeight w:val="45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AD2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3FA9">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其中：应在其他依赖于银行未来盈利的净递延税资产中扣除的金额</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0598">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25A1EFD7">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DB8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EFFB">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其他应在核心一级资本中扣除的项目合计</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3D48">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046E7678">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C82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1B40">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应从其他一级资本和二级资本中扣除的未扣缺口</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22DD">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042840CA">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889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44F9">
            <w:pPr>
              <w:widowControl/>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核心一级资本扣除项总和</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C892">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2,240,162</w:t>
            </w:r>
          </w:p>
        </w:tc>
      </w:tr>
      <w:tr w14:paraId="61D6C67F">
        <w:tblPrEx>
          <w:tblCellMar>
            <w:top w:w="15" w:type="dxa"/>
            <w:left w:w="15" w:type="dxa"/>
            <w:bottom w:w="15" w:type="dxa"/>
            <w:right w:w="15" w:type="dxa"/>
          </w:tblCellMar>
        </w:tblPrEx>
        <w:trPr>
          <w:trHeight w:val="49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3E4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26</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1849">
            <w:pPr>
              <w:widowControl/>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核心一级资本净额</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65BD">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34,857,835</w:t>
            </w:r>
          </w:p>
        </w:tc>
      </w:tr>
      <w:tr w14:paraId="4D1EF9F1">
        <w:tblPrEx>
          <w:tblCellMar>
            <w:top w:w="15" w:type="dxa"/>
            <w:left w:w="15" w:type="dxa"/>
            <w:bottom w:w="15" w:type="dxa"/>
            <w:right w:w="15" w:type="dxa"/>
          </w:tblCellMar>
        </w:tblPrEx>
        <w:trPr>
          <w:trHeight w:val="285" w:hRule="atLeast"/>
          <w:jc w:val="center"/>
        </w:trPr>
        <w:tc>
          <w:tcPr>
            <w:tcW w:w="8220" w:type="dxa"/>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14:paraId="0789D0E1">
            <w:pPr>
              <w:widowControl/>
              <w:jc w:val="left"/>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其他一级资本</w:t>
            </w:r>
          </w:p>
        </w:tc>
      </w:tr>
      <w:tr w14:paraId="47643A67">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60D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27</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5DEA">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其他一级资本工具及其溢价</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C839">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7,992,726</w:t>
            </w:r>
          </w:p>
        </w:tc>
      </w:tr>
      <w:tr w14:paraId="7D63CED6">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597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28</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C7C0">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其中：权益部分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0078">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0C5AE294">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E06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29</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ADCB">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其中：负债部分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4CBE">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7,992,726</w:t>
            </w:r>
          </w:p>
        </w:tc>
      </w:tr>
      <w:tr w14:paraId="0FC2439D">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FB2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30</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6B54">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少数股东资本可计入部分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2CAA">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1F173E92">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86F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31</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D280">
            <w:pPr>
              <w:widowControl/>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扣除前的其他一级资本</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3126">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7,992,726</w:t>
            </w:r>
          </w:p>
        </w:tc>
      </w:tr>
      <w:tr w14:paraId="6FFE0579">
        <w:tblPrEx>
          <w:tblCellMar>
            <w:top w:w="15" w:type="dxa"/>
            <w:left w:w="15" w:type="dxa"/>
            <w:bottom w:w="15" w:type="dxa"/>
            <w:right w:w="15" w:type="dxa"/>
          </w:tblCellMar>
        </w:tblPrEx>
        <w:trPr>
          <w:trHeight w:val="285" w:hRule="atLeast"/>
          <w:jc w:val="center"/>
        </w:trPr>
        <w:tc>
          <w:tcPr>
            <w:tcW w:w="8220" w:type="dxa"/>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14:paraId="59C8309E">
            <w:pPr>
              <w:widowControl/>
              <w:jc w:val="left"/>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其他一级资本:扣除项</w:t>
            </w:r>
          </w:p>
        </w:tc>
      </w:tr>
      <w:tr w14:paraId="66A76A7A">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D84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32</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4BFF">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直接或间接持有的本银行其他一级资本</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3E65">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59EC8A48">
        <w:tblPrEx>
          <w:tblCellMar>
            <w:top w:w="15" w:type="dxa"/>
            <w:left w:w="15" w:type="dxa"/>
            <w:bottom w:w="15" w:type="dxa"/>
            <w:right w:w="15" w:type="dxa"/>
          </w:tblCellMar>
        </w:tblPrEx>
        <w:trPr>
          <w:trHeight w:val="45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B69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33</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AAC0">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银行间或银行与其他金融机构间通过协议相互持有的其他一级资本</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772C">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205276DB">
        <w:tblPrEx>
          <w:tblCellMar>
            <w:top w:w="15" w:type="dxa"/>
            <w:left w:w="15" w:type="dxa"/>
            <w:bottom w:w="15" w:type="dxa"/>
            <w:right w:w="15" w:type="dxa"/>
          </w:tblCellMar>
        </w:tblPrEx>
        <w:trPr>
          <w:trHeight w:val="45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C7F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34</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55F3">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对未并表金融机构小额少数资本投资中的其他一级资本中应扣除金额</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063E">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70C6AC52">
        <w:tblPrEx>
          <w:tblCellMar>
            <w:top w:w="15" w:type="dxa"/>
            <w:left w:w="15" w:type="dxa"/>
            <w:bottom w:w="15" w:type="dxa"/>
            <w:right w:w="15" w:type="dxa"/>
          </w:tblCellMar>
        </w:tblPrEx>
        <w:trPr>
          <w:trHeight w:val="45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6C7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35</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51A6">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对未并表金融机构大额少数资本投资中的其他一级资本中应扣除金额</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122A">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63A39A58">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C88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36</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2EA0">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其他应在其他一级资本中扣除的项目合计</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7775">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5B1484C8">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0FD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37</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8357">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应从二级资本中扣除的未扣缺口</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8635">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31C710DB">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CB3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38</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DFA8">
            <w:pPr>
              <w:widowControl/>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其他一级资本扣除项总和</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38B4">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560B34FA">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75A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39</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73AF">
            <w:pPr>
              <w:widowControl/>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其他一级资本净额</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E461">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7,992,726</w:t>
            </w:r>
          </w:p>
        </w:tc>
      </w:tr>
      <w:tr w14:paraId="758DC3B1">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4F9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FAA4">
            <w:pPr>
              <w:widowControl/>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一级资本净额</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2950">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42,850,561</w:t>
            </w:r>
          </w:p>
        </w:tc>
      </w:tr>
      <w:tr w14:paraId="46CAA506">
        <w:tblPrEx>
          <w:tblCellMar>
            <w:top w:w="15" w:type="dxa"/>
            <w:left w:w="15" w:type="dxa"/>
            <w:bottom w:w="15" w:type="dxa"/>
            <w:right w:w="15" w:type="dxa"/>
          </w:tblCellMar>
        </w:tblPrEx>
        <w:trPr>
          <w:trHeight w:val="285" w:hRule="atLeast"/>
          <w:jc w:val="center"/>
        </w:trPr>
        <w:tc>
          <w:tcPr>
            <w:tcW w:w="8220" w:type="dxa"/>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14:paraId="5A995123">
            <w:pPr>
              <w:widowControl/>
              <w:jc w:val="left"/>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二级资本</w:t>
            </w:r>
          </w:p>
        </w:tc>
      </w:tr>
      <w:tr w14:paraId="1008D09C">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B3F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41</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F972">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二级资本工具及其溢价</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5C8A">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2,000,000</w:t>
            </w:r>
          </w:p>
        </w:tc>
      </w:tr>
      <w:tr w14:paraId="6CDF95D1">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A62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42</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B3FD">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少数股东资本可计入部分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A7C2">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7B5C6F3A">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52A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43</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E2CF">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超额损失准备可计入部分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F3DE">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3,953,645</w:t>
            </w:r>
          </w:p>
        </w:tc>
      </w:tr>
      <w:tr w14:paraId="0765D2B9">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ED4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44</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4ACF">
            <w:pPr>
              <w:widowControl/>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扣除前的二级资本</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9967">
            <w:pPr>
              <w:widowControl/>
              <w:jc w:val="right"/>
              <w:textAlignment w:val="center"/>
              <w:rPr>
                <w:rFonts w:hint="eastAsia" w:ascii="宋体" w:hAnsi="宋体" w:eastAsia="宋体" w:cs="宋体"/>
                <w:color w:val="000000"/>
                <w:sz w:val="18"/>
                <w:szCs w:val="18"/>
              </w:rPr>
            </w:pPr>
            <w:r>
              <w:rPr>
                <w:rFonts w:ascii="宋体" w:hAnsi="宋体" w:eastAsia="宋体" w:cs="宋体"/>
                <w:color w:val="000000"/>
                <w:kern w:val="0"/>
                <w:sz w:val="18"/>
                <w:szCs w:val="18"/>
                <w:lang w:bidi="ar"/>
              </w:rPr>
              <w:t>5,953,645.00</w:t>
            </w:r>
          </w:p>
        </w:tc>
      </w:tr>
      <w:tr w14:paraId="20C91589">
        <w:tblPrEx>
          <w:tblCellMar>
            <w:top w:w="15" w:type="dxa"/>
            <w:left w:w="15" w:type="dxa"/>
            <w:bottom w:w="15" w:type="dxa"/>
            <w:right w:w="15" w:type="dxa"/>
          </w:tblCellMar>
        </w:tblPrEx>
        <w:trPr>
          <w:trHeight w:val="285" w:hRule="atLeast"/>
          <w:jc w:val="center"/>
        </w:trPr>
        <w:tc>
          <w:tcPr>
            <w:tcW w:w="8220" w:type="dxa"/>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14:paraId="6851AF90">
            <w:pPr>
              <w:widowControl/>
              <w:jc w:val="left"/>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二级资本：扣除项</w:t>
            </w:r>
          </w:p>
        </w:tc>
      </w:tr>
      <w:tr w14:paraId="2F29C4E8">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E3A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45</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C1C1">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直接或间接持有的本银行的二级资本</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F084">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27B36ED5">
        <w:tblPrEx>
          <w:tblCellMar>
            <w:top w:w="15" w:type="dxa"/>
            <w:left w:w="15" w:type="dxa"/>
            <w:bottom w:w="15" w:type="dxa"/>
            <w:right w:w="15" w:type="dxa"/>
          </w:tblCellMar>
        </w:tblPrEx>
        <w:trPr>
          <w:trHeight w:val="45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C0A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46</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FF12">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银行间或银行与其他金融机构间通过协议相互持有的其他一级资本</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09C4">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4EE9DAC6">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B7E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47</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AAB4">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对未并表金融机构小额少数资本投资中的二级资本中应扣除金额</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B0A8">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2D74D820">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AB2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48</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E7F8">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对未并表金融机构大额少数资本投资中的二级资本</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CA11">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152,438</w:t>
            </w:r>
          </w:p>
        </w:tc>
      </w:tr>
      <w:tr w14:paraId="2CBA164D">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175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49</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7A82">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其他应在二级资本中扣除的项目合计</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9F46">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08A8ED8D">
        <w:tblPrEx>
          <w:tblCellMar>
            <w:top w:w="15" w:type="dxa"/>
            <w:left w:w="15" w:type="dxa"/>
            <w:bottom w:w="15" w:type="dxa"/>
            <w:right w:w="15" w:type="dxa"/>
          </w:tblCellMar>
        </w:tblPrEx>
        <w:trPr>
          <w:trHeight w:val="49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419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50</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31D7">
            <w:pPr>
              <w:widowControl/>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二级资本扣除项总和</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0C33">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152,438</w:t>
            </w:r>
          </w:p>
        </w:tc>
      </w:tr>
      <w:tr w14:paraId="0DA1C5E8">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F8B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51</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4AB0">
            <w:pPr>
              <w:widowControl/>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二级资本净额</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2359">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5,801,207</w:t>
            </w:r>
          </w:p>
        </w:tc>
      </w:tr>
      <w:tr w14:paraId="020F35CA">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0E1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52</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E2F8">
            <w:pPr>
              <w:widowControl/>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总资本净额</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056E">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48,651,768</w:t>
            </w:r>
          </w:p>
        </w:tc>
      </w:tr>
      <w:tr w14:paraId="13D6815D">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3E5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53</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F6D6">
            <w:pPr>
              <w:widowControl/>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风险加权资产</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4F0D">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346,069,563</w:t>
            </w:r>
          </w:p>
        </w:tc>
      </w:tr>
      <w:tr w14:paraId="1875F251">
        <w:tblPrEx>
          <w:tblCellMar>
            <w:top w:w="15" w:type="dxa"/>
            <w:left w:w="15" w:type="dxa"/>
            <w:bottom w:w="15" w:type="dxa"/>
            <w:right w:w="15" w:type="dxa"/>
          </w:tblCellMar>
        </w:tblPrEx>
        <w:trPr>
          <w:trHeight w:val="285" w:hRule="atLeast"/>
          <w:jc w:val="center"/>
        </w:trPr>
        <w:tc>
          <w:tcPr>
            <w:tcW w:w="8220" w:type="dxa"/>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14:paraId="272D85E2">
            <w:pPr>
              <w:widowControl/>
              <w:jc w:val="left"/>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资本充足率和其他各级资本要求</w:t>
            </w:r>
          </w:p>
        </w:tc>
      </w:tr>
      <w:tr w14:paraId="732F60F5">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BE4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54</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941D">
            <w:pPr>
              <w:widowControl/>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核心一级资本充足率（%）</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1325">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10.07 </w:t>
            </w:r>
          </w:p>
        </w:tc>
      </w:tr>
      <w:tr w14:paraId="209A72FA">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942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55</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C360">
            <w:pPr>
              <w:widowControl/>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一级资本充足率（%）</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30C9">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12.38 </w:t>
            </w:r>
          </w:p>
        </w:tc>
      </w:tr>
      <w:tr w14:paraId="06E60120">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A02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56</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24DA">
            <w:pPr>
              <w:widowControl/>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资本充足率（%）</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7346">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14.06 </w:t>
            </w:r>
          </w:p>
        </w:tc>
      </w:tr>
      <w:tr w14:paraId="2919857F">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E10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57</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5A96">
            <w:pPr>
              <w:widowControl/>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其他各级资本要求（%）</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DC12">
            <w:pPr>
              <w:widowControl/>
              <w:jc w:val="right"/>
              <w:textAlignment w:val="center"/>
              <w:rPr>
                <w:rFonts w:hint="eastAsia" w:ascii="宋体" w:hAnsi="宋体" w:eastAsia="宋体" w:cs="宋体"/>
                <w:color w:val="000000"/>
                <w:sz w:val="18"/>
                <w:szCs w:val="18"/>
              </w:rPr>
            </w:pPr>
            <w:r>
              <w:rPr>
                <w:rFonts w:ascii="宋体" w:hAnsi="宋体" w:eastAsia="宋体" w:cs="宋体"/>
                <w:color w:val="000000"/>
                <w:kern w:val="0"/>
                <w:sz w:val="18"/>
                <w:szCs w:val="18"/>
                <w:lang w:bidi="ar"/>
              </w:rPr>
              <w:t>2.50</w:t>
            </w:r>
          </w:p>
        </w:tc>
      </w:tr>
      <w:tr w14:paraId="41F254EA">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135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58</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6912">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其中：储备资本要求</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974E">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2.50 </w:t>
            </w:r>
          </w:p>
        </w:tc>
      </w:tr>
      <w:tr w14:paraId="53B77470">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7D1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59</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73EE">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其中：逆周期资本要求</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617B">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6C616AF6">
        <w:tblPrEx>
          <w:tblCellMar>
            <w:top w:w="15" w:type="dxa"/>
            <w:left w:w="15" w:type="dxa"/>
            <w:bottom w:w="15" w:type="dxa"/>
            <w:right w:w="15" w:type="dxa"/>
          </w:tblCellMar>
        </w:tblPrEx>
        <w:trPr>
          <w:trHeight w:val="45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D4D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60</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0204">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其中：全球系统重要性银行或国内系统重要性银行附加资本要求</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18FD">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3C87D785">
        <w:tblPrEx>
          <w:tblCellMar>
            <w:top w:w="15" w:type="dxa"/>
            <w:left w:w="15" w:type="dxa"/>
            <w:bottom w:w="15" w:type="dxa"/>
            <w:right w:w="15" w:type="dxa"/>
          </w:tblCellMar>
        </w:tblPrEx>
        <w:trPr>
          <w:trHeight w:val="45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636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61</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CF43">
            <w:pPr>
              <w:widowControl/>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满足最低资本要求后的可用核心一级资本净额占风险加权资产的比例（%）</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38BF">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5.07 </w:t>
            </w:r>
          </w:p>
        </w:tc>
      </w:tr>
      <w:tr w14:paraId="0D50643B">
        <w:tblPrEx>
          <w:tblCellMar>
            <w:top w:w="15" w:type="dxa"/>
            <w:left w:w="15" w:type="dxa"/>
            <w:bottom w:w="15" w:type="dxa"/>
            <w:right w:w="15" w:type="dxa"/>
          </w:tblCellMar>
        </w:tblPrEx>
        <w:trPr>
          <w:trHeight w:val="285" w:hRule="atLeast"/>
          <w:jc w:val="center"/>
        </w:trPr>
        <w:tc>
          <w:tcPr>
            <w:tcW w:w="8220" w:type="dxa"/>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14:paraId="4263E4E1">
            <w:pPr>
              <w:widowControl/>
              <w:jc w:val="left"/>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我国最低监管资本要求</w:t>
            </w:r>
          </w:p>
        </w:tc>
      </w:tr>
      <w:tr w14:paraId="3D06A3E2">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F2C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62</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200C">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核心一级资本充足率（%）</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33D7">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5.00 </w:t>
            </w:r>
          </w:p>
        </w:tc>
      </w:tr>
      <w:tr w14:paraId="293B5E25">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FAB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63</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B0EB">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一级资本充足率（%）</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05ED">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6.00 </w:t>
            </w:r>
          </w:p>
        </w:tc>
      </w:tr>
      <w:tr w14:paraId="42A68361">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6D7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64</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0E4C">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资本充足率（%）</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6FEB">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8.00 </w:t>
            </w:r>
          </w:p>
        </w:tc>
      </w:tr>
      <w:tr w14:paraId="072B2BCB">
        <w:tblPrEx>
          <w:tblCellMar>
            <w:top w:w="15" w:type="dxa"/>
            <w:left w:w="15" w:type="dxa"/>
            <w:bottom w:w="15" w:type="dxa"/>
            <w:right w:w="15" w:type="dxa"/>
          </w:tblCellMar>
        </w:tblPrEx>
        <w:trPr>
          <w:trHeight w:val="285" w:hRule="atLeast"/>
          <w:jc w:val="center"/>
        </w:trPr>
        <w:tc>
          <w:tcPr>
            <w:tcW w:w="8220" w:type="dxa"/>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14:paraId="090B077E">
            <w:pPr>
              <w:widowControl/>
              <w:jc w:val="left"/>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门槛扣除项中未扣除部分</w:t>
            </w:r>
          </w:p>
        </w:tc>
      </w:tr>
      <w:tr w14:paraId="7944F1EB">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B50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65</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D248">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对未并表金融机构的小额少数资本投资中未扣除部分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1C14">
            <w:pPr>
              <w:widowControl/>
              <w:jc w:val="right"/>
              <w:textAlignment w:val="center"/>
              <w:rPr>
                <w:rFonts w:hint="eastAsia" w:ascii="宋体" w:hAnsi="宋体" w:eastAsia="宋体" w:cs="宋体"/>
                <w:color w:val="000000"/>
                <w:sz w:val="18"/>
                <w:szCs w:val="18"/>
              </w:rPr>
            </w:pPr>
            <w:bookmarkStart w:id="0" w:name="_GoBack"/>
            <w:bookmarkEnd w:id="0"/>
            <w:r>
              <w:rPr>
                <w:rFonts w:hint="eastAsia" w:ascii="宋体" w:hAnsi="宋体" w:eastAsia="宋体" w:cs="宋体"/>
                <w:color w:val="000000"/>
                <w:kern w:val="0"/>
                <w:sz w:val="18"/>
                <w:szCs w:val="18"/>
                <w:lang w:bidi="ar"/>
              </w:rPr>
              <w:t>2,059,315</w:t>
            </w:r>
          </w:p>
        </w:tc>
      </w:tr>
      <w:tr w14:paraId="5B50CC0F">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CF9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66</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9A37">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对未并表金融机构的大额少数资本投资中未扣除部分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F8F6">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13687679">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3B5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67</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FF14">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其他依赖于银行未来盈利的净递延税资产（扣除递延税负债）</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871E">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3,709,800</w:t>
            </w:r>
          </w:p>
        </w:tc>
      </w:tr>
      <w:tr w14:paraId="7036ADCD">
        <w:tblPrEx>
          <w:tblCellMar>
            <w:top w:w="15" w:type="dxa"/>
            <w:left w:w="15" w:type="dxa"/>
            <w:bottom w:w="15" w:type="dxa"/>
            <w:right w:w="15" w:type="dxa"/>
          </w:tblCellMar>
        </w:tblPrEx>
        <w:trPr>
          <w:trHeight w:val="285" w:hRule="atLeast"/>
          <w:jc w:val="center"/>
        </w:trPr>
        <w:tc>
          <w:tcPr>
            <w:tcW w:w="8220" w:type="dxa"/>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14:paraId="2995BB14">
            <w:pPr>
              <w:widowControl/>
              <w:jc w:val="left"/>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可计入二级资本的超额损失准备的限额　</w:t>
            </w:r>
          </w:p>
        </w:tc>
      </w:tr>
      <w:tr w14:paraId="383288FD">
        <w:tblPrEx>
          <w:tblCellMar>
            <w:top w:w="15" w:type="dxa"/>
            <w:left w:w="15" w:type="dxa"/>
            <w:bottom w:w="15" w:type="dxa"/>
            <w:right w:w="15" w:type="dxa"/>
          </w:tblCellMar>
        </w:tblPrEx>
        <w:trPr>
          <w:trHeight w:val="28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92D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68</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6987">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权重法下，实际计提的超额损失准备金额</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24E8">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7,995,605</w:t>
            </w:r>
          </w:p>
        </w:tc>
      </w:tr>
      <w:tr w14:paraId="59D4F962">
        <w:tblPrEx>
          <w:tblCellMar>
            <w:top w:w="15" w:type="dxa"/>
            <w:left w:w="15" w:type="dxa"/>
            <w:bottom w:w="15" w:type="dxa"/>
            <w:right w:w="15" w:type="dxa"/>
          </w:tblCellMar>
        </w:tblPrEx>
        <w:trPr>
          <w:trHeight w:val="30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1EE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69</w:t>
            </w:r>
          </w:p>
        </w:tc>
        <w:tc>
          <w:tcPr>
            <w:tcW w:w="4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75E9">
            <w:pPr>
              <w:widowControl/>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权重法下，可计入二级资本超额损失准备的数额</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6999">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3,953,645</w:t>
            </w:r>
          </w:p>
        </w:tc>
      </w:tr>
    </w:tbl>
    <w:p w14:paraId="5A700688">
      <w:pPr>
        <w:pStyle w:val="2"/>
        <w:ind w:firstLine="640"/>
        <w:rPr>
          <w:rFonts w:hint="eastAsia" w:ascii="仿宋_GB2312" w:hAnsi="仿宋_GB2312" w:eastAsia="仿宋_GB2312"/>
          <w:sz w:val="32"/>
          <w:szCs w:val="32"/>
        </w:rPr>
      </w:pPr>
    </w:p>
    <w:p w14:paraId="16B778C2">
      <w:pPr>
        <w:pStyle w:val="2"/>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（三）集团财务并表和监管并表下的资产负债表的差异</w:t>
      </w:r>
    </w:p>
    <w:p w14:paraId="17A06CCA">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截至2025年末，本行财务并表和监管并表不存在差异。各项定量信息如下所示：</w:t>
      </w:r>
    </w:p>
    <w:p w14:paraId="007A51B6">
      <w:pPr>
        <w:pStyle w:val="2"/>
        <w:ind w:firstLine="0" w:firstLineChars="0"/>
        <w:jc w:val="center"/>
        <w:rPr>
          <w:rFonts w:hint="eastAsia" w:ascii="仿宋_GB2312" w:hAnsi="仿宋_GB2312" w:eastAsia="仿宋_GB2312"/>
          <w:sz w:val="30"/>
          <w:szCs w:val="30"/>
        </w:rPr>
      </w:pPr>
      <w:r>
        <w:rPr>
          <w:rFonts w:hint="eastAsia" w:ascii="仿宋_GB2312" w:hAnsi="仿宋_GB2312" w:eastAsia="仿宋_GB2312"/>
          <w:sz w:val="30"/>
          <w:szCs w:val="30"/>
        </w:rPr>
        <w:t>表4 CC2-集团财务并表和监管并表下资产负债表的差异</w:t>
      </w:r>
    </w:p>
    <w:p w14:paraId="6F9D5BCD">
      <w:pPr>
        <w:pStyle w:val="2"/>
        <w:ind w:firstLine="4620" w:firstLineChars="2100"/>
        <w:rPr>
          <w:rFonts w:hint="eastAsia" w:ascii="仿宋_GB2312" w:hAnsi="仿宋_GB2312" w:eastAsia="仿宋_GB2312"/>
          <w:sz w:val="22"/>
          <w:szCs w:val="22"/>
        </w:rPr>
      </w:pPr>
      <w:r>
        <w:rPr>
          <w:rFonts w:hint="eastAsia" w:ascii="仿宋_GB2312" w:hAnsi="仿宋_GB2312" w:eastAsia="仿宋_GB2312"/>
          <w:sz w:val="22"/>
          <w:szCs w:val="22"/>
        </w:rPr>
        <w:t>单位：人民币千元</w:t>
      </w:r>
    </w:p>
    <w:tbl>
      <w:tblPr>
        <w:tblStyle w:val="8"/>
        <w:tblW w:w="7102" w:type="dxa"/>
        <w:jc w:val="center"/>
        <w:tblLayout w:type="fixed"/>
        <w:tblCellMar>
          <w:top w:w="15" w:type="dxa"/>
          <w:left w:w="15" w:type="dxa"/>
          <w:bottom w:w="15" w:type="dxa"/>
          <w:right w:w="15" w:type="dxa"/>
        </w:tblCellMar>
      </w:tblPr>
      <w:tblGrid>
        <w:gridCol w:w="435"/>
        <w:gridCol w:w="2842"/>
        <w:gridCol w:w="1950"/>
        <w:gridCol w:w="1875"/>
      </w:tblGrid>
      <w:tr w14:paraId="0EFEDDD3">
        <w:tblPrEx>
          <w:tblCellMar>
            <w:top w:w="15" w:type="dxa"/>
            <w:left w:w="15" w:type="dxa"/>
            <w:bottom w:w="15" w:type="dxa"/>
            <w:right w:w="15" w:type="dxa"/>
          </w:tblCellMar>
        </w:tblPrEx>
        <w:trPr>
          <w:trHeight w:val="450" w:hRule="atLeast"/>
          <w:jc w:val="center"/>
        </w:trPr>
        <w:tc>
          <w:tcPr>
            <w:tcW w:w="3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7B98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集团财务并表和监管并表下的资产负债表差异</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CD81">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财务并表范围下的资产负债表</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8B75">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监管并表范围下的资产负债表</w:t>
            </w:r>
          </w:p>
        </w:tc>
      </w:tr>
      <w:tr w14:paraId="620C021B">
        <w:tblPrEx>
          <w:tblCellMar>
            <w:top w:w="15" w:type="dxa"/>
            <w:left w:w="15" w:type="dxa"/>
            <w:bottom w:w="15" w:type="dxa"/>
            <w:right w:w="15" w:type="dxa"/>
          </w:tblCellMar>
        </w:tblPrEx>
        <w:trPr>
          <w:trHeight w:val="285" w:hRule="atLeast"/>
          <w:jc w:val="center"/>
        </w:trPr>
        <w:tc>
          <w:tcPr>
            <w:tcW w:w="710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6290A4B8">
            <w:pPr>
              <w:widowControl/>
              <w:jc w:val="left"/>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资产</w:t>
            </w:r>
          </w:p>
        </w:tc>
      </w:tr>
      <w:tr w14:paraId="3BF48A89">
        <w:tblPrEx>
          <w:tblCellMar>
            <w:top w:w="15" w:type="dxa"/>
            <w:left w:w="15" w:type="dxa"/>
            <w:bottom w:w="15" w:type="dxa"/>
            <w:right w:w="15"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A8C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253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现金及存放中央银行款项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EAE0">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23,906,300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5995">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23,906,300</w:t>
            </w:r>
          </w:p>
        </w:tc>
      </w:tr>
      <w:tr w14:paraId="7BD29A04">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88B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408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存放同业款项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2EEC">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6,740,027</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FB83">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6,740,027</w:t>
            </w:r>
          </w:p>
        </w:tc>
      </w:tr>
      <w:tr w14:paraId="0D219889">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8BF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FD4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贵金属</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C337">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E096">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14:paraId="00943D48">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828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6F2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拆出资金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EE09">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15,410,153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9D44">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15,410,153</w:t>
            </w:r>
          </w:p>
        </w:tc>
      </w:tr>
      <w:tr w14:paraId="26DAFCD9">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A52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E91C">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衍生金融资产</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C1B8">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1,090,117</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94EC">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1,090,117</w:t>
            </w:r>
          </w:p>
        </w:tc>
      </w:tr>
      <w:tr w14:paraId="468B4181">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E5E0">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A26E">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买入返售金融资产</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50EC">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8,687,491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3FB">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8,687,491</w:t>
            </w:r>
          </w:p>
        </w:tc>
      </w:tr>
      <w:tr w14:paraId="37F1EC3D">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CC3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A92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发放贷款和垫款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4671">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266,588,305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0789">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266,588,305</w:t>
            </w:r>
          </w:p>
        </w:tc>
      </w:tr>
      <w:tr w14:paraId="49018940">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A5F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E63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金融投资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2610">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170,392,373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3775">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170,392,373</w:t>
            </w:r>
          </w:p>
        </w:tc>
      </w:tr>
      <w:tr w14:paraId="7EB4DDE2">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3EE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12C4">
            <w:pPr>
              <w:widowControl/>
              <w:ind w:firstLine="180" w:firstLineChars="10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其中：交易性金融资产</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CF07">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46,593,522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3A0E">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46,593,522</w:t>
            </w:r>
          </w:p>
        </w:tc>
      </w:tr>
      <w:tr w14:paraId="3A1A2041">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2D2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E2FF">
            <w:pPr>
              <w:widowControl/>
              <w:ind w:firstLine="180" w:firstLineChars="10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其中：债权投资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2289">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63,409,700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A9B4">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63,409,700</w:t>
            </w:r>
          </w:p>
        </w:tc>
      </w:tr>
      <w:tr w14:paraId="1C33B5A4">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2A7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E530">
            <w:pPr>
              <w:widowControl/>
              <w:ind w:firstLine="180" w:firstLineChars="10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其中：其他债权投资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2BDD">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60,383,951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BDCB">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60,383,951</w:t>
            </w:r>
          </w:p>
        </w:tc>
      </w:tr>
      <w:tr w14:paraId="663F83E8">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247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5021">
            <w:pPr>
              <w:widowControl/>
              <w:ind w:firstLine="180" w:firstLineChars="100"/>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其中：其他权益工具投资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E198">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5,200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7BBB">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5,200</w:t>
            </w:r>
          </w:p>
        </w:tc>
      </w:tr>
      <w:tr w14:paraId="01B784C0">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465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DA2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长期股权投资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4812">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8BEB">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w:t>
            </w:r>
          </w:p>
        </w:tc>
      </w:tr>
      <w:tr w14:paraId="64846881">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6D1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5C0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投资性房地产</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64B6">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6592">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r>
      <w:tr w14:paraId="65214D83">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0E3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C07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固定资产</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05DF">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3,027,394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0CC9">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3,027,394</w:t>
            </w:r>
          </w:p>
        </w:tc>
      </w:tr>
      <w:tr w14:paraId="49EB77D8">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9A4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105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在建工程</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1006">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87,223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A825">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87,223</w:t>
            </w:r>
          </w:p>
        </w:tc>
      </w:tr>
      <w:tr w14:paraId="1FD3DA79">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829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D4F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使用权资产</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CA98">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346,588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1D81">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346,588</w:t>
            </w:r>
          </w:p>
        </w:tc>
      </w:tr>
      <w:tr w14:paraId="18F67B3D">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0A0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9A7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无形资产</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D033">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68,834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0FDD">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68,834</w:t>
            </w:r>
          </w:p>
        </w:tc>
      </w:tr>
      <w:tr w14:paraId="3B0C8141">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80A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19</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F73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递延所得税资产</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829A">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6,147,821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2490">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6,147,821</w:t>
            </w:r>
          </w:p>
        </w:tc>
      </w:tr>
      <w:tr w14:paraId="303BF43C">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656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91C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其他资产</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7BEE">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290,859</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291D">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290,859</w:t>
            </w:r>
          </w:p>
        </w:tc>
      </w:tr>
      <w:tr w14:paraId="460F85E9">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6C34">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21</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C887">
            <w:pPr>
              <w:widowControl/>
              <w:jc w:val="left"/>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资产合计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C160">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502,783,490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7404">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502,783,490</w:t>
            </w:r>
          </w:p>
        </w:tc>
      </w:tr>
      <w:tr w14:paraId="42E9BF20">
        <w:tblPrEx>
          <w:tblCellMar>
            <w:top w:w="15" w:type="dxa"/>
            <w:left w:w="15" w:type="dxa"/>
            <w:bottom w:w="15" w:type="dxa"/>
            <w:right w:w="15" w:type="dxa"/>
          </w:tblCellMar>
        </w:tblPrEx>
        <w:trPr>
          <w:trHeight w:val="285" w:hRule="atLeast"/>
          <w:jc w:val="center"/>
        </w:trPr>
        <w:tc>
          <w:tcPr>
            <w:tcW w:w="710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5C9107EC">
            <w:pPr>
              <w:widowControl/>
              <w:jc w:val="left"/>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负债</w:t>
            </w:r>
          </w:p>
        </w:tc>
      </w:tr>
      <w:tr w14:paraId="0B33057A">
        <w:tblPrEx>
          <w:tblCellMar>
            <w:top w:w="15" w:type="dxa"/>
            <w:left w:w="15" w:type="dxa"/>
            <w:bottom w:w="15" w:type="dxa"/>
            <w:right w:w="15"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190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D25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向中央银行借款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7724">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15,811,538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9ABD">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15,811,538</w:t>
            </w:r>
          </w:p>
        </w:tc>
      </w:tr>
      <w:tr w14:paraId="7D0F32D2">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D15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E36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同业及其他金融机构存放款项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6C90">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3,865,933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A61B">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3,865,933</w:t>
            </w:r>
          </w:p>
        </w:tc>
      </w:tr>
      <w:tr w14:paraId="76181DEA">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9A6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1B7D">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拆入资金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5B7B">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7,596,905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6C0D">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7,596,905</w:t>
            </w:r>
          </w:p>
        </w:tc>
      </w:tr>
      <w:tr w14:paraId="56EA6EDB">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892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78DA">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交易性金融负债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1012">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5944272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6A50">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5944272</w:t>
            </w:r>
          </w:p>
        </w:tc>
      </w:tr>
      <w:tr w14:paraId="3B334E61">
        <w:tblPrEx>
          <w:tblCellMar>
            <w:top w:w="15" w:type="dxa"/>
            <w:left w:w="15" w:type="dxa"/>
            <w:bottom w:w="15" w:type="dxa"/>
            <w:right w:w="15"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A1B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26</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173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衍生金融负债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3BAB">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94,299</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1325">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94,299</w:t>
            </w:r>
          </w:p>
        </w:tc>
      </w:tr>
      <w:tr w14:paraId="63FDC50A">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B43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27</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2E5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卖出回购金融资产款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BEAF">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11,731,594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1BD0">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11,731,594</w:t>
            </w:r>
          </w:p>
        </w:tc>
      </w:tr>
      <w:tr w14:paraId="62768869">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FF9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28</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912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吸收存款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A00B">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335,831,345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B137">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335,831,345</w:t>
            </w:r>
          </w:p>
        </w:tc>
      </w:tr>
      <w:tr w14:paraId="0F4D0A5F">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00A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29</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F98F">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应付债券</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E7F3">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72,951,952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18A4">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72,951,952</w:t>
            </w:r>
          </w:p>
        </w:tc>
      </w:tr>
      <w:tr w14:paraId="30C7D3D7">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9A3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30</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9A5B">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应付职工薪酬</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757E">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2,428,099</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3D9">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2,428,099</w:t>
            </w:r>
          </w:p>
        </w:tc>
      </w:tr>
      <w:tr w14:paraId="39321B66">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A7E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31</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6AF1">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应交税费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87C7">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187,394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AA2B">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187,394</w:t>
            </w:r>
          </w:p>
        </w:tc>
      </w:tr>
      <w:tr w14:paraId="4915AFD8">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E17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32</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2C3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租赁负债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F49F">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182,955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40AB">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182,955</w:t>
            </w:r>
          </w:p>
        </w:tc>
      </w:tr>
      <w:tr w14:paraId="28507D61">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D57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33</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55C9">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预计负债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C208">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224,730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87B8">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224,730</w:t>
            </w:r>
          </w:p>
        </w:tc>
      </w:tr>
      <w:tr w14:paraId="0E0D22E9">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BC6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34</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27F7">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其他负债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196D">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841,751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5D9E">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841,751</w:t>
            </w:r>
          </w:p>
        </w:tc>
      </w:tr>
      <w:tr w14:paraId="1365EB15">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F413">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35</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55EB">
            <w:pPr>
              <w:widowControl/>
              <w:jc w:val="left"/>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负债合计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EA1E">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457,692,767</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6142">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457,692,767</w:t>
            </w:r>
          </w:p>
        </w:tc>
      </w:tr>
      <w:tr w14:paraId="1C3EEAEF">
        <w:tblPrEx>
          <w:tblCellMar>
            <w:top w:w="15" w:type="dxa"/>
            <w:left w:w="15" w:type="dxa"/>
            <w:bottom w:w="15" w:type="dxa"/>
            <w:right w:w="15" w:type="dxa"/>
          </w:tblCellMar>
        </w:tblPrEx>
        <w:trPr>
          <w:trHeight w:val="285" w:hRule="atLeast"/>
          <w:jc w:val="center"/>
        </w:trPr>
        <w:tc>
          <w:tcPr>
            <w:tcW w:w="710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47F850C2">
            <w:pPr>
              <w:widowControl/>
              <w:jc w:val="left"/>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所有者权益</w:t>
            </w:r>
          </w:p>
        </w:tc>
      </w:tr>
      <w:tr w14:paraId="385865B3">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9F1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36</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7ED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实收资本（或股本）</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C224">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5,555,622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B638">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5,555,622</w:t>
            </w:r>
          </w:p>
        </w:tc>
      </w:tr>
      <w:tr w14:paraId="6C8901A2">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5853">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37</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28E4">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其他权益工具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8A45">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8,471,316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51EE">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8,471,316</w:t>
            </w:r>
          </w:p>
        </w:tc>
      </w:tr>
      <w:tr w14:paraId="29B00678">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8C8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38</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E77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其中：永续债</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B012">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7,992,726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6A18">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7,992,726</w:t>
            </w:r>
          </w:p>
        </w:tc>
      </w:tr>
      <w:tr w14:paraId="59C686C4">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E4D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39</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BFC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资本公积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6EA2">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3,716,002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3209">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3,716,002</w:t>
            </w:r>
          </w:p>
        </w:tc>
      </w:tr>
      <w:tr w14:paraId="5022DF47">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050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2EF0">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其他综合收益</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87C7">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555,915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A7EB">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555,915</w:t>
            </w:r>
          </w:p>
        </w:tc>
      </w:tr>
      <w:tr w14:paraId="1405E274">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78D6">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41</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A5F8">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盈余公积</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2171">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5,690,702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B9C0">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5,690,702</w:t>
            </w:r>
          </w:p>
        </w:tc>
      </w:tr>
      <w:tr w14:paraId="5669027D">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3E9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42</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7835">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一般风险准备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500F">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6,917,826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423E">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6,917,826</w:t>
            </w:r>
          </w:p>
        </w:tc>
      </w:tr>
      <w:tr w14:paraId="1A9623E9">
        <w:tblPrEx>
          <w:tblCellMar>
            <w:top w:w="15" w:type="dxa"/>
            <w:left w:w="15" w:type="dxa"/>
            <w:bottom w:w="15" w:type="dxa"/>
            <w:right w:w="15" w:type="dxa"/>
          </w:tblCellMar>
        </w:tblPrEx>
        <w:trPr>
          <w:trHeight w:val="450"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5792">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43</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2D92">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未分配利润</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EFFD">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14,183,340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8E5C">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14,183,340</w:t>
            </w:r>
          </w:p>
        </w:tc>
      </w:tr>
      <w:tr w14:paraId="212DAFB3">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55DF">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44</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16A3">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少数股东权益</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681E">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3F3B">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0</w:t>
            </w:r>
          </w:p>
        </w:tc>
      </w:tr>
      <w:tr w14:paraId="23DA20F0">
        <w:tblPrEx>
          <w:tblCellMar>
            <w:top w:w="15" w:type="dxa"/>
            <w:left w:w="15" w:type="dxa"/>
            <w:bottom w:w="15" w:type="dxa"/>
            <w:right w:w="15" w:type="dxa"/>
          </w:tblCellMar>
        </w:tblPrEx>
        <w:trPr>
          <w:trHeight w:val="285" w:hRule="atLeast"/>
          <w:jc w:val="center"/>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23D7">
            <w:pPr>
              <w:widowControl/>
              <w:jc w:val="center"/>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45</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E9B1">
            <w:pPr>
              <w:widowControl/>
              <w:jc w:val="left"/>
              <w:textAlignment w:val="center"/>
              <w:rPr>
                <w:rFonts w:hint="eastAsia" w:ascii="宋体" w:hAnsi="宋体" w:eastAsia="宋体" w:cs="宋体"/>
                <w:b/>
                <w:color w:val="000000"/>
                <w:sz w:val="18"/>
                <w:szCs w:val="18"/>
              </w:rPr>
            </w:pPr>
            <w:r>
              <w:rPr>
                <w:rFonts w:hint="eastAsia" w:ascii="宋体" w:hAnsi="宋体" w:eastAsia="宋体" w:cs="宋体"/>
                <w:b/>
                <w:bCs/>
                <w:color w:val="000000"/>
                <w:kern w:val="0"/>
                <w:sz w:val="18"/>
                <w:szCs w:val="18"/>
                <w:lang w:bidi="ar"/>
              </w:rPr>
              <w:t>所有者权益合计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E512">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45,090,723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BF1A">
            <w:pPr>
              <w:widowControl/>
              <w:jc w:val="righ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45,090,723</w:t>
            </w:r>
          </w:p>
        </w:tc>
      </w:tr>
    </w:tbl>
    <w:p w14:paraId="022E5E86">
      <w:pPr>
        <w:pStyle w:val="2"/>
        <w:ind w:firstLine="640"/>
        <w:rPr>
          <w:rFonts w:hint="eastAsia" w:ascii="黑体" w:hAnsi="黑体" w:eastAsia="黑体" w:cs="黑体"/>
          <w:sz w:val="32"/>
          <w:szCs w:val="32"/>
        </w:rPr>
      </w:pPr>
      <w:r>
        <w:rPr>
          <w:rFonts w:hint="eastAsia" w:ascii="黑体" w:hAnsi="黑体" w:eastAsia="黑体" w:cs="黑体"/>
          <w:sz w:val="32"/>
          <w:szCs w:val="32"/>
        </w:rPr>
        <w:t>四、杠杆率</w:t>
      </w:r>
    </w:p>
    <w:p w14:paraId="47ECEB28">
      <w:pPr>
        <w:pStyle w:val="2"/>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（一）杠杆率监管项目与相关会计项目的差异</w:t>
      </w:r>
    </w:p>
    <w:p w14:paraId="67064B60">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截至2025年末，本行杠杆率监管项目与相关会计项目差异的定量信息如下表所示：</w:t>
      </w:r>
    </w:p>
    <w:p w14:paraId="77869DA7">
      <w:pPr>
        <w:pStyle w:val="2"/>
        <w:ind w:firstLine="0" w:firstLineChars="0"/>
        <w:jc w:val="center"/>
        <w:rPr>
          <w:rFonts w:hint="eastAsia" w:ascii="仿宋_GB2312" w:hAnsi="仿宋_GB2312" w:eastAsia="仿宋_GB2312"/>
          <w:sz w:val="30"/>
          <w:szCs w:val="30"/>
        </w:rPr>
      </w:pPr>
      <w:r>
        <w:rPr>
          <w:rFonts w:hint="eastAsia" w:ascii="仿宋_GB2312" w:hAnsi="仿宋_GB2312" w:eastAsia="仿宋_GB2312"/>
          <w:sz w:val="30"/>
          <w:szCs w:val="30"/>
        </w:rPr>
        <w:t>表5 LR1-杠杆率监管项目与相关会计项目的差异</w:t>
      </w:r>
    </w:p>
    <w:p w14:paraId="025B1292">
      <w:pPr>
        <w:pStyle w:val="2"/>
        <w:ind w:firstLine="4620" w:firstLineChars="2100"/>
        <w:rPr>
          <w:rFonts w:hint="eastAsia" w:ascii="仿宋_GB2312" w:hAnsi="仿宋_GB2312" w:eastAsia="仿宋_GB2312"/>
          <w:sz w:val="22"/>
          <w:szCs w:val="22"/>
        </w:rPr>
      </w:pPr>
      <w:r>
        <w:rPr>
          <w:rFonts w:hint="eastAsia" w:ascii="仿宋_GB2312" w:hAnsi="仿宋_GB2312" w:eastAsia="仿宋_GB2312"/>
          <w:sz w:val="22"/>
          <w:szCs w:val="22"/>
        </w:rPr>
        <w:t>单位：人民币千元（百分比除外）</w:t>
      </w:r>
    </w:p>
    <w:tbl>
      <w:tblPr>
        <w:tblStyle w:val="8"/>
        <w:tblW w:w="4820" w:type="dxa"/>
        <w:jc w:val="center"/>
        <w:tblLayout w:type="fixed"/>
        <w:tblCellMar>
          <w:top w:w="15" w:type="dxa"/>
          <w:left w:w="15" w:type="dxa"/>
          <w:bottom w:w="15" w:type="dxa"/>
          <w:right w:w="15" w:type="dxa"/>
        </w:tblCellMar>
      </w:tblPr>
      <w:tblGrid>
        <w:gridCol w:w="585"/>
        <w:gridCol w:w="2265"/>
        <w:gridCol w:w="1970"/>
      </w:tblGrid>
      <w:tr w14:paraId="74298B39">
        <w:tblPrEx>
          <w:tblCellMar>
            <w:top w:w="15" w:type="dxa"/>
            <w:left w:w="15" w:type="dxa"/>
            <w:bottom w:w="15" w:type="dxa"/>
            <w:right w:w="15" w:type="dxa"/>
          </w:tblCellMar>
        </w:tblPrEx>
        <w:trPr>
          <w:trHeight w:val="285" w:hRule="atLeast"/>
          <w:jc w:val="center"/>
        </w:trPr>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42B19">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杠杆率监管项目与相关会计项目的差异</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69E7">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2025年12月31日</w:t>
            </w:r>
          </w:p>
        </w:tc>
      </w:tr>
      <w:tr w14:paraId="4E9D5A9B">
        <w:tblPrEx>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EE68">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10C8">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并表总资产</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8C04">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502,783,490 </w:t>
            </w:r>
          </w:p>
        </w:tc>
      </w:tr>
      <w:tr w14:paraId="196840A6">
        <w:tblPrEx>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CE65">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A340">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并表调整项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AEB0">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r>
      <w:tr w14:paraId="1EBF7611">
        <w:tblPrEx>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E84F">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0DE5">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客户资产调整项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D2F2">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r>
      <w:tr w14:paraId="1FF759BF">
        <w:tblPrEx>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3016">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8187">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衍生工具调整项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E118">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22,006,012 </w:t>
            </w:r>
          </w:p>
        </w:tc>
      </w:tr>
      <w:tr w14:paraId="68FCB055">
        <w:tblPrEx>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A9F5">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1756">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证券融资交易调整项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177C">
            <w:pPr>
              <w:widowControl/>
              <w:jc w:val="right"/>
              <w:textAlignment w:val="center"/>
              <w:rPr>
                <w:rFonts w:hint="eastAsia"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1,809.00</w:t>
            </w:r>
          </w:p>
        </w:tc>
      </w:tr>
      <w:tr w14:paraId="2D909532">
        <w:tblPrEx>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A73D">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9A64">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表外项目调整项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AFE5">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33,162,173 </w:t>
            </w:r>
          </w:p>
        </w:tc>
      </w:tr>
      <w:tr w14:paraId="788A2B20">
        <w:tblPrEx>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7110">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3ABF">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资产证券化交易调整项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7340">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r>
      <w:tr w14:paraId="4FB23987">
        <w:tblPrEx>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5266">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02EC">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未结算金融资产调整项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F8D7">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r>
      <w:tr w14:paraId="2997E805">
        <w:tblPrEx>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DFB1">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2F25">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现金池调整项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4781">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r>
      <w:tr w14:paraId="0F180B92">
        <w:tblPrEx>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DE95">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E101">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存款准备金调整项（如有）</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CC44">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r>
      <w:tr w14:paraId="773ED656">
        <w:tblPrEx>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A2BA">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865F">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审慎估值和减值准备调整项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CB52">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r>
      <w:tr w14:paraId="21FCF68F">
        <w:tblPrEx>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A15F">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845D">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其他调整项</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CF3C">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-2,240,162 </w:t>
            </w:r>
          </w:p>
        </w:tc>
      </w:tr>
      <w:tr w14:paraId="2CB02762">
        <w:tblPrEx>
          <w:tblCellMar>
            <w:top w:w="15" w:type="dxa"/>
            <w:left w:w="15" w:type="dxa"/>
            <w:bottom w:w="15" w:type="dxa"/>
            <w:right w:w="15"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838D">
            <w:pPr>
              <w:widowControl/>
              <w:jc w:val="center"/>
              <w:textAlignment w:val="center"/>
              <w:rPr>
                <w:rFonts w:hint="eastAsia" w:ascii="华文细黑" w:hAnsi="华文细黑" w:eastAsia="华文细黑" w:cs="华文细黑"/>
                <w:b/>
                <w:color w:val="000000"/>
                <w:sz w:val="18"/>
                <w:szCs w:val="18"/>
              </w:rPr>
            </w:pPr>
            <w:r>
              <w:rPr>
                <w:rFonts w:hint="eastAsia" w:ascii="华文细黑" w:hAnsi="华文细黑" w:eastAsia="华文细黑" w:cs="华文细黑"/>
                <w:b/>
                <w:bCs/>
                <w:color w:val="000000"/>
                <w:kern w:val="0"/>
                <w:sz w:val="18"/>
                <w:szCs w:val="18"/>
                <w:lang w:bidi="ar"/>
              </w:rPr>
              <w:t>13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6329">
            <w:pPr>
              <w:widowControl/>
              <w:jc w:val="left"/>
              <w:textAlignment w:val="center"/>
              <w:rPr>
                <w:rFonts w:hint="eastAsia" w:ascii="华文细黑" w:hAnsi="华文细黑" w:eastAsia="华文细黑" w:cs="华文细黑"/>
                <w:b/>
                <w:color w:val="000000"/>
                <w:sz w:val="18"/>
                <w:szCs w:val="18"/>
              </w:rPr>
            </w:pPr>
            <w:r>
              <w:rPr>
                <w:rFonts w:hint="eastAsia" w:ascii="华文细黑" w:hAnsi="华文细黑" w:eastAsia="华文细黑" w:cs="华文细黑"/>
                <w:b/>
                <w:bCs/>
                <w:color w:val="000000"/>
                <w:kern w:val="0"/>
                <w:sz w:val="18"/>
                <w:szCs w:val="18"/>
                <w:lang w:bidi="ar"/>
              </w:rPr>
              <w:t>调整后表内外资产余额</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D272">
            <w:pPr>
              <w:widowControl/>
              <w:jc w:val="right"/>
              <w:textAlignment w:val="center"/>
              <w:rPr>
                <w:rFonts w:hint="eastAsia"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555,713,322.00</w:t>
            </w:r>
          </w:p>
        </w:tc>
      </w:tr>
    </w:tbl>
    <w:p w14:paraId="7CE39C1F">
      <w:pPr>
        <w:pStyle w:val="2"/>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（二）杠杆率</w:t>
      </w:r>
    </w:p>
    <w:p w14:paraId="42E95EB0">
      <w:pPr>
        <w:pStyle w:val="2"/>
        <w:ind w:firstLine="640"/>
        <w:rPr>
          <w:rFonts w:hint="eastAsia" w:ascii="仿宋_GB2312" w:hAnsi="仿宋_GB2312" w:eastAsia="仿宋_GB2312"/>
          <w:sz w:val="32"/>
          <w:szCs w:val="32"/>
        </w:rPr>
      </w:pPr>
      <w:r>
        <w:rPr>
          <w:rFonts w:hint="eastAsia" w:ascii="仿宋_GB2312" w:hAnsi="仿宋_GB2312" w:eastAsia="仿宋_GB2312"/>
          <w:sz w:val="32"/>
          <w:szCs w:val="32"/>
        </w:rPr>
        <w:t>截至2025年末，本行杠杆率为7.71%，满足监管不低于4%的要求。具体杠杆率情况如下表：</w:t>
      </w:r>
    </w:p>
    <w:p w14:paraId="0DE26D1E">
      <w:pPr>
        <w:pStyle w:val="2"/>
        <w:ind w:firstLine="0" w:firstLineChars="0"/>
        <w:jc w:val="center"/>
        <w:rPr>
          <w:rFonts w:hint="eastAsia" w:ascii="仿宋_GB2312" w:hAnsi="仿宋_GB2312" w:eastAsia="仿宋_GB2312"/>
          <w:sz w:val="32"/>
          <w:szCs w:val="32"/>
        </w:rPr>
      </w:pPr>
      <w:r>
        <w:rPr>
          <w:rFonts w:hint="eastAsia" w:ascii="仿宋_GB2312" w:hAnsi="仿宋_GB2312" w:eastAsia="仿宋_GB2312"/>
          <w:sz w:val="32"/>
          <w:szCs w:val="32"/>
        </w:rPr>
        <w:t>表6 LR2-杠杆率</w:t>
      </w:r>
    </w:p>
    <w:p w14:paraId="4280CFF2">
      <w:pPr>
        <w:pStyle w:val="2"/>
        <w:ind w:firstLine="4620" w:firstLineChars="2100"/>
        <w:rPr>
          <w:rFonts w:hint="eastAsia" w:ascii="仿宋_GB2312" w:hAnsi="仿宋_GB2312" w:eastAsia="仿宋_GB2312"/>
          <w:sz w:val="22"/>
          <w:szCs w:val="22"/>
        </w:rPr>
      </w:pPr>
      <w:r>
        <w:rPr>
          <w:rFonts w:hint="eastAsia" w:ascii="仿宋_GB2312" w:hAnsi="仿宋_GB2312" w:eastAsia="仿宋_GB2312"/>
          <w:sz w:val="22"/>
          <w:szCs w:val="22"/>
        </w:rPr>
        <w:t>单位：人民币千元（百分比除外）</w:t>
      </w:r>
    </w:p>
    <w:tbl>
      <w:tblPr>
        <w:tblStyle w:val="8"/>
        <w:tblW w:w="7262" w:type="dxa"/>
        <w:jc w:val="center"/>
        <w:tblLayout w:type="fixed"/>
        <w:tblCellMar>
          <w:top w:w="15" w:type="dxa"/>
          <w:left w:w="15" w:type="dxa"/>
          <w:bottom w:w="15" w:type="dxa"/>
          <w:right w:w="15" w:type="dxa"/>
        </w:tblCellMar>
      </w:tblPr>
      <w:tblGrid>
        <w:gridCol w:w="641"/>
        <w:gridCol w:w="2774"/>
        <w:gridCol w:w="1837"/>
        <w:gridCol w:w="2010"/>
      </w:tblGrid>
      <w:tr w14:paraId="6DA14994">
        <w:tblPrEx>
          <w:tblCellMar>
            <w:top w:w="15" w:type="dxa"/>
            <w:left w:w="15" w:type="dxa"/>
            <w:bottom w:w="15" w:type="dxa"/>
            <w:right w:w="15" w:type="dxa"/>
          </w:tblCellMar>
        </w:tblPrEx>
        <w:trPr>
          <w:trHeight w:val="285" w:hRule="atLeast"/>
          <w:jc w:val="center"/>
        </w:trPr>
        <w:tc>
          <w:tcPr>
            <w:tcW w:w="34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64BA8">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杠杆率</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569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50D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T-1</w:t>
            </w:r>
          </w:p>
        </w:tc>
      </w:tr>
      <w:tr w14:paraId="7D6CD75B">
        <w:tblPrEx>
          <w:tblCellMar>
            <w:top w:w="15" w:type="dxa"/>
            <w:left w:w="15" w:type="dxa"/>
            <w:bottom w:w="15" w:type="dxa"/>
            <w:right w:w="15" w:type="dxa"/>
          </w:tblCellMar>
        </w:tblPrEx>
        <w:trPr>
          <w:trHeight w:val="285" w:hRule="atLeast"/>
          <w:jc w:val="center"/>
        </w:trPr>
        <w:tc>
          <w:tcPr>
            <w:tcW w:w="3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0AE2C">
            <w:pPr>
              <w:jc w:val="center"/>
              <w:rPr>
                <w:rFonts w:hint="eastAsia" w:ascii="华文细黑" w:hAnsi="华文细黑" w:eastAsia="华文细黑" w:cs="华文细黑"/>
                <w:color w:val="000000"/>
                <w:sz w:val="18"/>
                <w:szCs w:val="18"/>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AE1E">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2025年12月31日</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9077">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2025年9月30日</w:t>
            </w:r>
          </w:p>
        </w:tc>
      </w:tr>
      <w:tr w14:paraId="235FEFE5">
        <w:tblPrEx>
          <w:tblCellMar>
            <w:top w:w="15" w:type="dxa"/>
            <w:left w:w="15" w:type="dxa"/>
            <w:bottom w:w="15" w:type="dxa"/>
            <w:right w:w="15" w:type="dxa"/>
          </w:tblCellMar>
        </w:tblPrEx>
        <w:trPr>
          <w:trHeight w:val="285" w:hRule="atLeast"/>
          <w:jc w:val="center"/>
        </w:trPr>
        <w:tc>
          <w:tcPr>
            <w:tcW w:w="7262" w:type="dxa"/>
            <w:gridSpan w:val="4"/>
            <w:tcBorders>
              <w:left w:val="single" w:color="000000" w:sz="4" w:space="0"/>
            </w:tcBorders>
            <w:shd w:val="clear" w:color="auto" w:fill="D9D9D9"/>
            <w:vAlign w:val="bottom"/>
          </w:tcPr>
          <w:p w14:paraId="538EABC1">
            <w:pPr>
              <w:widowControl/>
              <w:jc w:val="left"/>
              <w:textAlignment w:val="bottom"/>
              <w:rPr>
                <w:rFonts w:hint="eastAsia" w:ascii="华文细黑" w:hAnsi="华文细黑" w:eastAsia="华文细黑" w:cs="华文细黑"/>
                <w:b/>
                <w:color w:val="000000"/>
                <w:sz w:val="18"/>
                <w:szCs w:val="18"/>
              </w:rPr>
            </w:pPr>
            <w:r>
              <w:rPr>
                <w:rFonts w:hint="eastAsia" w:ascii="华文细黑" w:hAnsi="华文细黑" w:eastAsia="华文细黑" w:cs="华文细黑"/>
                <w:b/>
                <w:bCs/>
                <w:color w:val="000000"/>
                <w:kern w:val="0"/>
                <w:sz w:val="18"/>
                <w:szCs w:val="18"/>
                <w:lang w:bidi="ar"/>
              </w:rPr>
              <w:t>表内资产余额</w:t>
            </w:r>
          </w:p>
        </w:tc>
      </w:tr>
      <w:tr w14:paraId="6570434F">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E36F">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D87D">
            <w:pPr>
              <w:widowControl/>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表内资产（除衍生工具和证券融资交易外）</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11F7">
            <w:pPr>
              <w:widowControl/>
              <w:jc w:val="right"/>
              <w:textAlignment w:val="center"/>
              <w:rPr>
                <w:rFonts w:hint="eastAsia"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505,949,832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39C6">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517,685,192 </w:t>
            </w:r>
          </w:p>
        </w:tc>
      </w:tr>
      <w:tr w14:paraId="65DAD4B7">
        <w:tblPrEx>
          <w:tblCellMar>
            <w:top w:w="15" w:type="dxa"/>
            <w:left w:w="15" w:type="dxa"/>
            <w:bottom w:w="15" w:type="dxa"/>
            <w:right w:w="15" w:type="dxa"/>
          </w:tblCellMar>
        </w:tblPrEx>
        <w:trPr>
          <w:trHeight w:val="450"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1A7F">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4A16">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减：减值准备</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0091">
            <w:pPr>
              <w:widowControl/>
              <w:jc w:val="right"/>
              <w:textAlignment w:val="center"/>
              <w:rPr>
                <w:rFonts w:hint="eastAsia"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-12,943,949</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7499">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-12,351,747 </w:t>
            </w:r>
          </w:p>
        </w:tc>
      </w:tr>
      <w:tr w14:paraId="2C4A0757">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6718">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3</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CBCD">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减：一级资本扣除项</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4746">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-2,240,162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0D10">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-1,674,618 </w:t>
            </w:r>
          </w:p>
        </w:tc>
      </w:tr>
      <w:tr w14:paraId="073F0547">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56FE">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4</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2590">
            <w:pPr>
              <w:widowControl/>
              <w:textAlignment w:val="center"/>
              <w:rPr>
                <w:rFonts w:hint="eastAsia" w:ascii="华文细黑" w:hAnsi="华文细黑" w:eastAsia="华文细黑" w:cs="华文细黑"/>
                <w:b/>
                <w:color w:val="000000"/>
                <w:sz w:val="18"/>
                <w:szCs w:val="18"/>
              </w:rPr>
            </w:pPr>
            <w:r>
              <w:rPr>
                <w:rFonts w:hint="eastAsia" w:ascii="华文细黑" w:hAnsi="华文细黑" w:eastAsia="华文细黑" w:cs="华文细黑"/>
                <w:b/>
                <w:bCs/>
                <w:color w:val="000000"/>
                <w:kern w:val="0"/>
                <w:sz w:val="18"/>
                <w:szCs w:val="18"/>
                <w:lang w:bidi="ar"/>
              </w:rPr>
              <w:t>调整后的表内资产余额（衍生工具和证券融资交易除外）</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F69B">
            <w:pPr>
              <w:widowControl/>
              <w:jc w:val="right"/>
              <w:textAlignment w:val="center"/>
              <w:rPr>
                <w:rFonts w:hint="eastAsia"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490,765,721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645D">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503,658,827 </w:t>
            </w:r>
          </w:p>
        </w:tc>
      </w:tr>
      <w:tr w14:paraId="5A3D8108">
        <w:tblPrEx>
          <w:tblCellMar>
            <w:top w:w="15" w:type="dxa"/>
            <w:left w:w="15" w:type="dxa"/>
            <w:bottom w:w="15" w:type="dxa"/>
            <w:right w:w="15" w:type="dxa"/>
          </w:tblCellMar>
        </w:tblPrEx>
        <w:trPr>
          <w:trHeight w:val="285" w:hRule="atLeast"/>
          <w:jc w:val="center"/>
        </w:trPr>
        <w:tc>
          <w:tcPr>
            <w:tcW w:w="7262" w:type="dxa"/>
            <w:gridSpan w:val="4"/>
            <w:tcBorders>
              <w:top w:val="single" w:color="000000" w:sz="4" w:space="0"/>
              <w:left w:val="single" w:color="000000" w:sz="4" w:space="0"/>
              <w:bottom w:val="single" w:color="000000" w:sz="4" w:space="0"/>
              <w:right w:val="single" w:color="000000" w:sz="4" w:space="0"/>
            </w:tcBorders>
            <w:shd w:val="clear" w:color="auto" w:fill="D9D9D9"/>
            <w:vAlign w:val="bottom"/>
          </w:tcPr>
          <w:p w14:paraId="17BA1ED5">
            <w:pPr>
              <w:widowControl/>
              <w:jc w:val="left"/>
              <w:textAlignment w:val="bottom"/>
              <w:rPr>
                <w:rFonts w:hint="eastAsia" w:ascii="华文细黑" w:hAnsi="华文细黑" w:eastAsia="华文细黑" w:cs="华文细黑"/>
                <w:b/>
                <w:color w:val="000000"/>
                <w:sz w:val="18"/>
                <w:szCs w:val="18"/>
              </w:rPr>
            </w:pPr>
            <w:r>
              <w:rPr>
                <w:rFonts w:hint="eastAsia" w:ascii="华文细黑" w:hAnsi="华文细黑" w:eastAsia="华文细黑" w:cs="华文细黑"/>
                <w:b/>
                <w:bCs/>
                <w:color w:val="000000"/>
                <w:kern w:val="0"/>
                <w:sz w:val="18"/>
                <w:szCs w:val="18"/>
                <w:lang w:bidi="ar"/>
              </w:rPr>
              <w:t>衍生工具资产余额</w:t>
            </w:r>
          </w:p>
        </w:tc>
      </w:tr>
      <w:tr w14:paraId="115B7387">
        <w:tblPrEx>
          <w:tblCellMar>
            <w:top w:w="15" w:type="dxa"/>
            <w:left w:w="15" w:type="dxa"/>
            <w:bottom w:w="15" w:type="dxa"/>
            <w:right w:w="15" w:type="dxa"/>
          </w:tblCellMar>
        </w:tblPrEx>
        <w:trPr>
          <w:trHeight w:val="450"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FDD4">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5</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7367">
            <w:pPr>
              <w:widowControl/>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各类衍生工具的重置成本（扣除合格保证金，考虑双边净额结算协议的影响）</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F189">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1,090,117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FAAC">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604,794 </w:t>
            </w:r>
          </w:p>
        </w:tc>
      </w:tr>
      <w:tr w14:paraId="530E583D">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A9C0">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6</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354B">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各类衍生工具的潜在风险暴露</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528A">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22,006,012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5F3C">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24,620,955 </w:t>
            </w:r>
          </w:p>
        </w:tc>
      </w:tr>
      <w:tr w14:paraId="3D3734E7">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F506">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7</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D15B">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已从资产负债表中扣除的抵质押品总和</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524C">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F6F7">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r>
      <w:tr w14:paraId="7CEC10A4">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4D39">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8</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4C3D">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减：因提供合格保证金形成的应收资产</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9367">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CF0D">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r>
      <w:tr w14:paraId="1C660B8F">
        <w:tblPrEx>
          <w:tblCellMar>
            <w:top w:w="15" w:type="dxa"/>
            <w:left w:w="15" w:type="dxa"/>
            <w:bottom w:w="15" w:type="dxa"/>
            <w:right w:w="15" w:type="dxa"/>
          </w:tblCellMar>
        </w:tblPrEx>
        <w:trPr>
          <w:trHeight w:val="450"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6B94">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9</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B3F4">
            <w:pPr>
              <w:widowControl/>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减：为客户提供清算服务时与中央交易对手交易形成的衍生工具资产余额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7167">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6D7D">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r>
      <w:tr w14:paraId="7078C492">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3ACE">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10</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99BF">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卖出信用衍生工具的名义本金</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14F8">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4D1A">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r>
      <w:tr w14:paraId="572DA9A6">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04FB">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11</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F968">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减：可扣除的卖出信用衍生工具资产余额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FE05">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ED98">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r>
      <w:tr w14:paraId="7D0AFC61">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1F72">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12</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1F98">
            <w:pPr>
              <w:widowControl/>
              <w:jc w:val="left"/>
              <w:textAlignment w:val="center"/>
              <w:rPr>
                <w:rFonts w:hint="eastAsia" w:ascii="华文细黑" w:hAnsi="华文细黑" w:eastAsia="华文细黑" w:cs="华文细黑"/>
                <w:b/>
                <w:color w:val="000000"/>
                <w:sz w:val="18"/>
                <w:szCs w:val="18"/>
              </w:rPr>
            </w:pPr>
            <w:r>
              <w:rPr>
                <w:rFonts w:hint="eastAsia" w:ascii="华文细黑" w:hAnsi="华文细黑" w:eastAsia="华文细黑" w:cs="华文细黑"/>
                <w:b/>
                <w:bCs/>
                <w:color w:val="000000"/>
                <w:kern w:val="0"/>
                <w:sz w:val="18"/>
                <w:szCs w:val="18"/>
                <w:lang w:bidi="ar"/>
              </w:rPr>
              <w:t>衍生工具资产余额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F97C">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23,096,129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0022">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25,225,749 </w:t>
            </w:r>
          </w:p>
        </w:tc>
      </w:tr>
      <w:tr w14:paraId="553223A0">
        <w:tblPrEx>
          <w:tblCellMar>
            <w:top w:w="15" w:type="dxa"/>
            <w:left w:w="15" w:type="dxa"/>
            <w:bottom w:w="15" w:type="dxa"/>
            <w:right w:w="15" w:type="dxa"/>
          </w:tblCellMar>
        </w:tblPrEx>
        <w:trPr>
          <w:trHeight w:val="285" w:hRule="atLeast"/>
          <w:jc w:val="center"/>
        </w:trPr>
        <w:tc>
          <w:tcPr>
            <w:tcW w:w="7262" w:type="dxa"/>
            <w:gridSpan w:val="4"/>
            <w:tcBorders>
              <w:top w:val="single" w:color="000000" w:sz="4" w:space="0"/>
              <w:left w:val="single" w:color="000000" w:sz="4" w:space="0"/>
              <w:bottom w:val="single" w:color="000000" w:sz="4" w:space="0"/>
              <w:right w:val="single" w:color="000000" w:sz="4" w:space="0"/>
            </w:tcBorders>
            <w:shd w:val="clear" w:color="auto" w:fill="D9D9D9"/>
            <w:vAlign w:val="bottom"/>
          </w:tcPr>
          <w:p w14:paraId="298101E3">
            <w:pPr>
              <w:widowControl/>
              <w:jc w:val="left"/>
              <w:textAlignment w:val="bottom"/>
              <w:rPr>
                <w:rFonts w:hint="eastAsia" w:ascii="华文细黑" w:hAnsi="华文细黑" w:eastAsia="华文细黑" w:cs="华文细黑"/>
                <w:b/>
                <w:color w:val="000000"/>
                <w:sz w:val="18"/>
                <w:szCs w:val="18"/>
              </w:rPr>
            </w:pPr>
            <w:r>
              <w:rPr>
                <w:rFonts w:hint="eastAsia" w:ascii="华文细黑" w:hAnsi="华文细黑" w:eastAsia="华文细黑" w:cs="华文细黑"/>
                <w:b/>
                <w:bCs/>
                <w:color w:val="000000"/>
                <w:kern w:val="0"/>
                <w:sz w:val="18"/>
                <w:szCs w:val="18"/>
                <w:lang w:bidi="ar"/>
              </w:rPr>
              <w:t>证券融资交易资产余额</w:t>
            </w:r>
          </w:p>
        </w:tc>
      </w:tr>
      <w:tr w14:paraId="4D7CD78B">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99DF">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13</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FDAA">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证券融资交易的会计资产余额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5420">
            <w:pPr>
              <w:widowControl/>
              <w:jc w:val="right"/>
              <w:textAlignment w:val="center"/>
              <w:rPr>
                <w:rFonts w:hint="eastAsia"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8,689,300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22B9">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3,981,759 </w:t>
            </w:r>
          </w:p>
        </w:tc>
      </w:tr>
      <w:tr w14:paraId="579B36F7">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BC26">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14</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D0AC">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减：可以扣除的证券融资交易资产余额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52A4">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3697">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r>
      <w:tr w14:paraId="7D9FCB25">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8229">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15</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5655">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证券融资交易的交易对手信用风险暴露</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C30A">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070A">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r>
      <w:tr w14:paraId="70AB6889">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3357">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16</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75D6">
            <w:pPr>
              <w:widowControl/>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代理证券融资交易形成的证券融资交易资产余额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5581">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09A2">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w:t>
            </w:r>
          </w:p>
        </w:tc>
      </w:tr>
      <w:tr w14:paraId="47796E34">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440E">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17</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C9B2">
            <w:pPr>
              <w:widowControl/>
              <w:jc w:val="left"/>
              <w:textAlignment w:val="center"/>
              <w:rPr>
                <w:rFonts w:hint="eastAsia" w:ascii="华文细黑" w:hAnsi="华文细黑" w:eastAsia="华文细黑" w:cs="华文细黑"/>
                <w:b/>
                <w:color w:val="000000"/>
                <w:sz w:val="18"/>
                <w:szCs w:val="18"/>
              </w:rPr>
            </w:pPr>
            <w:r>
              <w:rPr>
                <w:rFonts w:hint="eastAsia" w:ascii="华文细黑" w:hAnsi="华文细黑" w:eastAsia="华文细黑" w:cs="华文细黑"/>
                <w:b/>
                <w:bCs/>
                <w:color w:val="000000"/>
                <w:kern w:val="0"/>
                <w:sz w:val="18"/>
                <w:szCs w:val="18"/>
                <w:lang w:bidi="ar"/>
              </w:rPr>
              <w:t>证券融资交易资产余额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67D7">
            <w:pPr>
              <w:widowControl/>
              <w:jc w:val="right"/>
              <w:textAlignment w:val="center"/>
              <w:rPr>
                <w:rFonts w:hint="eastAsia"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8,689,300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6318">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3,981,759 </w:t>
            </w:r>
          </w:p>
        </w:tc>
      </w:tr>
      <w:tr w14:paraId="58D5A65F">
        <w:tblPrEx>
          <w:tblCellMar>
            <w:top w:w="15" w:type="dxa"/>
            <w:left w:w="15" w:type="dxa"/>
            <w:bottom w:w="15" w:type="dxa"/>
            <w:right w:w="15" w:type="dxa"/>
          </w:tblCellMar>
        </w:tblPrEx>
        <w:trPr>
          <w:trHeight w:val="285" w:hRule="atLeast"/>
          <w:jc w:val="center"/>
        </w:trPr>
        <w:tc>
          <w:tcPr>
            <w:tcW w:w="7262" w:type="dxa"/>
            <w:gridSpan w:val="4"/>
            <w:tcBorders>
              <w:top w:val="single" w:color="000000" w:sz="4" w:space="0"/>
              <w:left w:val="single" w:color="000000" w:sz="4" w:space="0"/>
              <w:bottom w:val="single" w:color="000000" w:sz="4" w:space="0"/>
              <w:right w:val="single" w:color="000000" w:sz="4" w:space="0"/>
            </w:tcBorders>
            <w:shd w:val="clear" w:color="auto" w:fill="D9D9D9"/>
            <w:vAlign w:val="bottom"/>
          </w:tcPr>
          <w:p w14:paraId="18859C9B">
            <w:pPr>
              <w:widowControl/>
              <w:jc w:val="left"/>
              <w:textAlignment w:val="bottom"/>
              <w:rPr>
                <w:rFonts w:hint="eastAsia" w:ascii="华文细黑" w:hAnsi="华文细黑" w:eastAsia="华文细黑" w:cs="华文细黑"/>
                <w:b/>
                <w:color w:val="000000"/>
                <w:sz w:val="18"/>
                <w:szCs w:val="18"/>
              </w:rPr>
            </w:pPr>
            <w:r>
              <w:rPr>
                <w:rFonts w:hint="eastAsia" w:ascii="华文细黑" w:hAnsi="华文细黑" w:eastAsia="华文细黑" w:cs="华文细黑"/>
                <w:b/>
                <w:bCs/>
                <w:color w:val="000000"/>
                <w:kern w:val="0"/>
                <w:sz w:val="18"/>
                <w:szCs w:val="18"/>
                <w:lang w:bidi="ar"/>
              </w:rPr>
              <w:t>表外项目余额</w:t>
            </w:r>
          </w:p>
        </w:tc>
      </w:tr>
      <w:tr w14:paraId="0AC4D85F">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6FF8">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18</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2E52">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表外项目余额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E697">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62,498,477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10C9">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49,746,276 </w:t>
            </w:r>
          </w:p>
        </w:tc>
      </w:tr>
      <w:tr w14:paraId="4543924F">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76D3">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19</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4CF9">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减：因信用转换调整的表外项目余额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E1DE">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-29,111,575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F3B1">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-23,456,948 </w:t>
            </w:r>
          </w:p>
        </w:tc>
      </w:tr>
      <w:tr w14:paraId="4B277958">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C5B4">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20</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5E89">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减：减值准备</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86EF">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-224,730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5E83">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-276,620 </w:t>
            </w:r>
          </w:p>
        </w:tc>
      </w:tr>
      <w:tr w14:paraId="64A75CE5">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EFD2">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21</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36BD">
            <w:pPr>
              <w:widowControl/>
              <w:jc w:val="left"/>
              <w:textAlignment w:val="center"/>
              <w:rPr>
                <w:rFonts w:hint="eastAsia" w:ascii="华文细黑" w:hAnsi="华文细黑" w:eastAsia="华文细黑" w:cs="华文细黑"/>
                <w:b/>
                <w:color w:val="000000"/>
                <w:sz w:val="18"/>
                <w:szCs w:val="18"/>
              </w:rPr>
            </w:pPr>
            <w:r>
              <w:rPr>
                <w:rFonts w:hint="eastAsia" w:ascii="华文细黑" w:hAnsi="华文细黑" w:eastAsia="华文细黑" w:cs="华文细黑"/>
                <w:b/>
                <w:bCs/>
                <w:color w:val="000000"/>
                <w:kern w:val="0"/>
                <w:sz w:val="18"/>
                <w:szCs w:val="18"/>
                <w:lang w:bidi="ar"/>
              </w:rPr>
              <w:t>调整后的表外项目余额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B645">
            <w:pPr>
              <w:widowControl/>
              <w:jc w:val="right"/>
              <w:textAlignment w:val="center"/>
              <w:rPr>
                <w:rFonts w:hint="eastAsia"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33,162,172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4517">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26,012,708 </w:t>
            </w:r>
          </w:p>
        </w:tc>
      </w:tr>
      <w:tr w14:paraId="363EFB92">
        <w:tblPrEx>
          <w:tblCellMar>
            <w:top w:w="15" w:type="dxa"/>
            <w:left w:w="15" w:type="dxa"/>
            <w:bottom w:w="15" w:type="dxa"/>
            <w:right w:w="15" w:type="dxa"/>
          </w:tblCellMar>
        </w:tblPrEx>
        <w:trPr>
          <w:trHeight w:val="285" w:hRule="atLeast"/>
          <w:jc w:val="center"/>
        </w:trPr>
        <w:tc>
          <w:tcPr>
            <w:tcW w:w="7262" w:type="dxa"/>
            <w:gridSpan w:val="4"/>
            <w:tcBorders>
              <w:top w:val="single" w:color="000000" w:sz="4" w:space="0"/>
              <w:left w:val="single" w:color="000000" w:sz="4" w:space="0"/>
              <w:bottom w:val="single" w:color="000000" w:sz="4" w:space="0"/>
              <w:right w:val="single" w:color="000000" w:sz="4" w:space="0"/>
            </w:tcBorders>
            <w:shd w:val="clear" w:color="auto" w:fill="D9D9D9"/>
            <w:vAlign w:val="bottom"/>
          </w:tcPr>
          <w:p w14:paraId="03A3995B">
            <w:pPr>
              <w:widowControl/>
              <w:jc w:val="left"/>
              <w:textAlignment w:val="bottom"/>
              <w:rPr>
                <w:rFonts w:hint="eastAsia" w:ascii="华文细黑" w:hAnsi="华文细黑" w:eastAsia="华文细黑" w:cs="华文细黑"/>
                <w:b/>
                <w:color w:val="000000"/>
                <w:sz w:val="18"/>
                <w:szCs w:val="18"/>
              </w:rPr>
            </w:pPr>
            <w:r>
              <w:rPr>
                <w:rFonts w:hint="eastAsia" w:ascii="华文细黑" w:hAnsi="华文细黑" w:eastAsia="华文细黑" w:cs="华文细黑"/>
                <w:b/>
                <w:bCs/>
                <w:color w:val="000000"/>
                <w:kern w:val="0"/>
                <w:sz w:val="18"/>
                <w:szCs w:val="18"/>
                <w:lang w:bidi="ar"/>
              </w:rPr>
              <w:t>一级资本净额和调整后表内外资产余额</w:t>
            </w:r>
          </w:p>
        </w:tc>
      </w:tr>
      <w:tr w14:paraId="30344C8F">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DCC4">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22</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250A">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一级资本净额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E8AB">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42,850,561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C1A9">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45,515,576 </w:t>
            </w:r>
          </w:p>
        </w:tc>
      </w:tr>
      <w:tr w14:paraId="5972D8A6">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CD75">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23</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F498">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调整后表内外资产余额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4510">
            <w:pPr>
              <w:widowControl/>
              <w:jc w:val="right"/>
              <w:textAlignment w:val="center"/>
              <w:rPr>
                <w:rFonts w:hint="eastAsia" w:ascii="华文细黑" w:hAnsi="华文细黑" w:eastAsia="华文细黑" w:cs="华文细黑"/>
                <w:color w:val="000000"/>
                <w:sz w:val="18"/>
                <w:szCs w:val="18"/>
              </w:rPr>
            </w:pPr>
            <w:r>
              <w:rPr>
                <w:rFonts w:ascii="华文细黑" w:hAnsi="华文细黑" w:eastAsia="华文细黑" w:cs="华文细黑"/>
                <w:color w:val="000000"/>
                <w:kern w:val="0"/>
                <w:sz w:val="18"/>
                <w:szCs w:val="18"/>
                <w:lang w:bidi="ar"/>
              </w:rPr>
              <w:t>555,713,322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221F">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558,879,043 </w:t>
            </w:r>
          </w:p>
        </w:tc>
      </w:tr>
      <w:tr w14:paraId="4208B8F2">
        <w:tblPrEx>
          <w:tblCellMar>
            <w:top w:w="15" w:type="dxa"/>
            <w:left w:w="15" w:type="dxa"/>
            <w:bottom w:w="15" w:type="dxa"/>
            <w:right w:w="15" w:type="dxa"/>
          </w:tblCellMar>
        </w:tblPrEx>
        <w:trPr>
          <w:trHeight w:val="285" w:hRule="atLeast"/>
          <w:jc w:val="center"/>
        </w:trPr>
        <w:tc>
          <w:tcPr>
            <w:tcW w:w="7262" w:type="dxa"/>
            <w:gridSpan w:val="4"/>
            <w:tcBorders>
              <w:top w:val="single" w:color="000000" w:sz="4" w:space="0"/>
              <w:left w:val="single" w:color="000000" w:sz="4" w:space="0"/>
              <w:bottom w:val="single" w:color="000000" w:sz="4" w:space="0"/>
              <w:right w:val="single" w:color="000000" w:sz="4" w:space="0"/>
            </w:tcBorders>
            <w:shd w:val="clear" w:color="auto" w:fill="D9D9D9"/>
            <w:vAlign w:val="bottom"/>
          </w:tcPr>
          <w:p w14:paraId="25EE4CE5">
            <w:pPr>
              <w:widowControl/>
              <w:jc w:val="left"/>
              <w:textAlignment w:val="bottom"/>
              <w:rPr>
                <w:rFonts w:hint="eastAsia" w:ascii="华文细黑" w:hAnsi="华文细黑" w:eastAsia="华文细黑" w:cs="华文细黑"/>
                <w:b/>
                <w:color w:val="000000"/>
                <w:sz w:val="18"/>
                <w:szCs w:val="18"/>
              </w:rPr>
            </w:pPr>
            <w:r>
              <w:rPr>
                <w:rFonts w:hint="eastAsia" w:ascii="华文细黑" w:hAnsi="华文细黑" w:eastAsia="华文细黑" w:cs="华文细黑"/>
                <w:b/>
                <w:bCs/>
                <w:color w:val="000000"/>
                <w:kern w:val="0"/>
                <w:sz w:val="18"/>
                <w:szCs w:val="18"/>
                <w:lang w:bidi="ar"/>
              </w:rPr>
              <w:t>杠杆率</w:t>
            </w:r>
          </w:p>
        </w:tc>
      </w:tr>
      <w:tr w14:paraId="15FCF514">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E7E4">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24</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F6B6">
            <w:pPr>
              <w:widowControl/>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杠杆率（%）</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78A2">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7.71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DADB">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8.14 </w:t>
            </w:r>
          </w:p>
        </w:tc>
      </w:tr>
      <w:tr w14:paraId="2A9A6ADF">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BADD">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24a</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656A">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杠杆率a（%）</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3EAB">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7.71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F192">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8.14 </w:t>
            </w:r>
          </w:p>
        </w:tc>
      </w:tr>
      <w:tr w14:paraId="386D4491">
        <w:tblPrEx>
          <w:tblCellMar>
            <w:top w:w="15" w:type="dxa"/>
            <w:left w:w="15" w:type="dxa"/>
            <w:bottom w:w="15" w:type="dxa"/>
            <w:right w:w="15" w:type="dxa"/>
          </w:tblCellMar>
        </w:tblPrEx>
        <w:trPr>
          <w:trHeight w:val="285"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B82B">
            <w:pPr>
              <w:widowControl/>
              <w:jc w:val="center"/>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25</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0437">
            <w:pPr>
              <w:widowControl/>
              <w:jc w:val="lef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最低杠杆率要求（%）</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8D78">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4.00 </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1195">
            <w:pPr>
              <w:widowControl/>
              <w:jc w:val="right"/>
              <w:textAlignment w:val="center"/>
              <w:rPr>
                <w:rFonts w:hint="eastAsia" w:ascii="华文细黑" w:hAnsi="华文细黑" w:eastAsia="华文细黑" w:cs="华文细黑"/>
                <w:color w:val="000000"/>
                <w:sz w:val="18"/>
                <w:szCs w:val="18"/>
              </w:rPr>
            </w:pPr>
            <w:r>
              <w:rPr>
                <w:rFonts w:hint="eastAsia" w:ascii="华文细黑" w:hAnsi="华文细黑" w:eastAsia="华文细黑" w:cs="华文细黑"/>
                <w:color w:val="000000"/>
                <w:kern w:val="0"/>
                <w:sz w:val="18"/>
                <w:szCs w:val="18"/>
                <w:lang w:bidi="ar"/>
              </w:rPr>
              <w:t xml:space="preserve">4.00 </w:t>
            </w:r>
          </w:p>
        </w:tc>
      </w:tr>
    </w:tbl>
    <w:p w14:paraId="52EC346F">
      <w:pPr>
        <w:pStyle w:val="2"/>
        <w:ind w:firstLine="0" w:firstLineChars="0"/>
        <w:rPr>
          <w:rFonts w:hint="eastAsia" w:ascii="仿宋_GB2312" w:hAnsi="仿宋_GB2312" w:eastAsia="仿宋_GB2312"/>
          <w:sz w:val="32"/>
          <w:szCs w:val="32"/>
        </w:rPr>
      </w:pPr>
    </w:p>
    <w:p w14:paraId="4AA46449">
      <w:pPr>
        <w:pStyle w:val="2"/>
        <w:numPr>
          <w:ilvl w:val="255"/>
          <w:numId w:val="0"/>
        </w:numPr>
        <w:ind w:firstLine="640"/>
        <w:rPr>
          <w:rFonts w:hint="eastAsia" w:ascii="仿宋_GB2312" w:hAnsi="仿宋_GB2312" w:eastAsia="仿宋_GB2312"/>
          <w:sz w:val="32"/>
          <w:szCs w:val="32"/>
        </w:rPr>
      </w:pP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F73931-06E1-4577-B53D-8BAD7969D1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60ABA21-C9FE-4017-BFDA-8696E76C4C5F}"/>
  </w:font>
  <w:font w:name="仿宋">
    <w:panose1 w:val="02010609060101010101"/>
    <w:charset w:val="86"/>
    <w:family w:val="modern"/>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370308A4-5DCB-4D1C-AA13-34E86B32DCF7}"/>
  </w:font>
  <w:font w:name="楷体_GB2312">
    <w:altName w:val="楷体"/>
    <w:panose1 w:val="00000000000000000000"/>
    <w:charset w:val="86"/>
    <w:family w:val="auto"/>
    <w:pitch w:val="default"/>
    <w:sig w:usb0="00000000" w:usb1="00000000" w:usb2="00000000" w:usb3="00000000" w:csb0="00040000" w:csb1="00000000"/>
    <w:embedRegular r:id="rId4" w:fontKey="{CCACDE38-478C-4C6D-9494-8FDA12CDDA3E}"/>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embedRegular r:id="rId5" w:fontKey="{8C5BAC9C-1173-4D3C-B648-2A70C5FEFA6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B6FDF">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B6BD5">
                          <w:pPr>
                            <w:pStyle w:val="5"/>
                            <w:rPr>
                              <w:rFonts w:hint="eastAsia" w:ascii="宋体" w:hAnsi="宋体" w:eastAsia="宋体" w:cs="宋体"/>
                              <w:sz w:val="28"/>
                              <w:szCs w:val="28"/>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1CB6BD5">
                    <w:pPr>
                      <w:pStyle w:val="5"/>
                      <w:rPr>
                        <w:rFonts w:hint="eastAsia" w:ascii="宋体" w:hAnsi="宋体" w:eastAsia="宋体" w:cs="宋体"/>
                        <w:sz w:val="28"/>
                        <w:szCs w:val="28"/>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04E"/>
    <w:rsid w:val="0000204E"/>
    <w:rsid w:val="00296D0D"/>
    <w:rsid w:val="003F53AB"/>
    <w:rsid w:val="004F0737"/>
    <w:rsid w:val="007062BA"/>
    <w:rsid w:val="00F24606"/>
    <w:rsid w:val="013378EC"/>
    <w:rsid w:val="016C4A53"/>
    <w:rsid w:val="01ED0F82"/>
    <w:rsid w:val="026754E7"/>
    <w:rsid w:val="02B44D5B"/>
    <w:rsid w:val="03ED5D4A"/>
    <w:rsid w:val="042B5EE3"/>
    <w:rsid w:val="053910E8"/>
    <w:rsid w:val="05EF2542"/>
    <w:rsid w:val="05F44D61"/>
    <w:rsid w:val="0711051E"/>
    <w:rsid w:val="071528C6"/>
    <w:rsid w:val="07E16B19"/>
    <w:rsid w:val="080F2845"/>
    <w:rsid w:val="086E188C"/>
    <w:rsid w:val="097D5A32"/>
    <w:rsid w:val="09EA1B09"/>
    <w:rsid w:val="0AAA770C"/>
    <w:rsid w:val="0BD66005"/>
    <w:rsid w:val="0C1B1D98"/>
    <w:rsid w:val="0C232E09"/>
    <w:rsid w:val="0D3270C4"/>
    <w:rsid w:val="12D84152"/>
    <w:rsid w:val="12E10411"/>
    <w:rsid w:val="12E87171"/>
    <w:rsid w:val="13CB1888"/>
    <w:rsid w:val="14CF06EB"/>
    <w:rsid w:val="15BF328E"/>
    <w:rsid w:val="16426B6B"/>
    <w:rsid w:val="173A79C1"/>
    <w:rsid w:val="18177A39"/>
    <w:rsid w:val="18CD0E97"/>
    <w:rsid w:val="19194716"/>
    <w:rsid w:val="19BD2480"/>
    <w:rsid w:val="1A2C7223"/>
    <w:rsid w:val="1A671C0E"/>
    <w:rsid w:val="1BBC0A2B"/>
    <w:rsid w:val="1BDF238A"/>
    <w:rsid w:val="1C485306"/>
    <w:rsid w:val="1CE0395A"/>
    <w:rsid w:val="1D5D38F5"/>
    <w:rsid w:val="1DD27A9D"/>
    <w:rsid w:val="1DD55F02"/>
    <w:rsid w:val="1E1665EA"/>
    <w:rsid w:val="1E4B57BF"/>
    <w:rsid w:val="1FA95A20"/>
    <w:rsid w:val="2003755A"/>
    <w:rsid w:val="205154E2"/>
    <w:rsid w:val="21E876C8"/>
    <w:rsid w:val="226646C7"/>
    <w:rsid w:val="22936A35"/>
    <w:rsid w:val="239D567C"/>
    <w:rsid w:val="25B764C7"/>
    <w:rsid w:val="27587CCE"/>
    <w:rsid w:val="29F9365D"/>
    <w:rsid w:val="2A3F5892"/>
    <w:rsid w:val="2A6D37AC"/>
    <w:rsid w:val="2ABD1F89"/>
    <w:rsid w:val="2B234148"/>
    <w:rsid w:val="2DB5450D"/>
    <w:rsid w:val="2EB8027C"/>
    <w:rsid w:val="2FB43FD3"/>
    <w:rsid w:val="31AF0A9C"/>
    <w:rsid w:val="322B63AC"/>
    <w:rsid w:val="323D5640"/>
    <w:rsid w:val="33516F70"/>
    <w:rsid w:val="33AF3C8A"/>
    <w:rsid w:val="33B444E3"/>
    <w:rsid w:val="33D52E5F"/>
    <w:rsid w:val="34B2309A"/>
    <w:rsid w:val="359046E7"/>
    <w:rsid w:val="35BC1A4E"/>
    <w:rsid w:val="36676D1E"/>
    <w:rsid w:val="36BF0BA3"/>
    <w:rsid w:val="36E55A33"/>
    <w:rsid w:val="38C14911"/>
    <w:rsid w:val="39411FC5"/>
    <w:rsid w:val="3C147E59"/>
    <w:rsid w:val="3C5D1E98"/>
    <w:rsid w:val="3E600BFE"/>
    <w:rsid w:val="3EBC4775"/>
    <w:rsid w:val="3F0C005E"/>
    <w:rsid w:val="3FAA7E2E"/>
    <w:rsid w:val="406D0A61"/>
    <w:rsid w:val="42130178"/>
    <w:rsid w:val="4259180B"/>
    <w:rsid w:val="436308A8"/>
    <w:rsid w:val="439C01C0"/>
    <w:rsid w:val="43CE4B96"/>
    <w:rsid w:val="43DF0EA4"/>
    <w:rsid w:val="441E1DA9"/>
    <w:rsid w:val="46542381"/>
    <w:rsid w:val="4699601F"/>
    <w:rsid w:val="46A05D52"/>
    <w:rsid w:val="485C3F80"/>
    <w:rsid w:val="487C587B"/>
    <w:rsid w:val="488471EB"/>
    <w:rsid w:val="48F12E59"/>
    <w:rsid w:val="492E6558"/>
    <w:rsid w:val="493A6F33"/>
    <w:rsid w:val="4A8D0B15"/>
    <w:rsid w:val="4B8179A1"/>
    <w:rsid w:val="4BEB59AC"/>
    <w:rsid w:val="4BF607CB"/>
    <w:rsid w:val="4CEA1F77"/>
    <w:rsid w:val="4DCE208E"/>
    <w:rsid w:val="4DD967AF"/>
    <w:rsid w:val="4E603D23"/>
    <w:rsid w:val="500A5B5B"/>
    <w:rsid w:val="501207E2"/>
    <w:rsid w:val="502309D4"/>
    <w:rsid w:val="50CF02A4"/>
    <w:rsid w:val="51FA4C31"/>
    <w:rsid w:val="53CE7088"/>
    <w:rsid w:val="54DA6B45"/>
    <w:rsid w:val="54E84B7F"/>
    <w:rsid w:val="55164F4F"/>
    <w:rsid w:val="551C7FA4"/>
    <w:rsid w:val="565718EB"/>
    <w:rsid w:val="56981DB2"/>
    <w:rsid w:val="56AF3248"/>
    <w:rsid w:val="57AE6829"/>
    <w:rsid w:val="57F93FAA"/>
    <w:rsid w:val="57F97233"/>
    <w:rsid w:val="58E32895"/>
    <w:rsid w:val="58EB165F"/>
    <w:rsid w:val="5A574984"/>
    <w:rsid w:val="5A8911D8"/>
    <w:rsid w:val="5B2F7DDB"/>
    <w:rsid w:val="5BBC2EAB"/>
    <w:rsid w:val="5BBC32C1"/>
    <w:rsid w:val="5D3F1C47"/>
    <w:rsid w:val="5EAF3C67"/>
    <w:rsid w:val="5FD15D41"/>
    <w:rsid w:val="600202BF"/>
    <w:rsid w:val="60A75B62"/>
    <w:rsid w:val="61A214AE"/>
    <w:rsid w:val="636640D7"/>
    <w:rsid w:val="63E14F52"/>
    <w:rsid w:val="650D3C56"/>
    <w:rsid w:val="66E64526"/>
    <w:rsid w:val="66F5753F"/>
    <w:rsid w:val="69075AE0"/>
    <w:rsid w:val="696A319E"/>
    <w:rsid w:val="6A477D54"/>
    <w:rsid w:val="6B0E3EE0"/>
    <w:rsid w:val="6B3E3983"/>
    <w:rsid w:val="6B5C2B66"/>
    <w:rsid w:val="6CE32422"/>
    <w:rsid w:val="6D0D6700"/>
    <w:rsid w:val="6D317D8E"/>
    <w:rsid w:val="6DEB4065"/>
    <w:rsid w:val="6E410F56"/>
    <w:rsid w:val="6E6D0EC6"/>
    <w:rsid w:val="6EB14D27"/>
    <w:rsid w:val="6ED10310"/>
    <w:rsid w:val="6F267DB4"/>
    <w:rsid w:val="6F3E1E02"/>
    <w:rsid w:val="6FBE1D83"/>
    <w:rsid w:val="715447E2"/>
    <w:rsid w:val="723A6DC5"/>
    <w:rsid w:val="724F4299"/>
    <w:rsid w:val="72B33FBD"/>
    <w:rsid w:val="72C401F1"/>
    <w:rsid w:val="73276867"/>
    <w:rsid w:val="73384058"/>
    <w:rsid w:val="751562E5"/>
    <w:rsid w:val="75913620"/>
    <w:rsid w:val="7611138F"/>
    <w:rsid w:val="76585514"/>
    <w:rsid w:val="78395658"/>
    <w:rsid w:val="7A882F19"/>
    <w:rsid w:val="7B946EB8"/>
    <w:rsid w:val="7BBA02FD"/>
    <w:rsid w:val="7BEA24DC"/>
    <w:rsid w:val="7E790D1A"/>
    <w:rsid w:val="7FB5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0"/>
    <w:pPr>
      <w:widowControl w:val="0"/>
      <w:spacing w:line="560" w:lineRule="exact"/>
      <w:ind w:firstLine="420" w:firstLineChars="200"/>
      <w:jc w:val="both"/>
    </w:pPr>
    <w:rPr>
      <w:rFonts w:ascii="Times New Roman" w:hAnsi="Times New Roman" w:eastAsia="宋体" w:cs="仿宋_GB2312"/>
      <w:kern w:val="2"/>
      <w:sz w:val="28"/>
      <w:szCs w:val="28"/>
      <w:lang w:val="en-US" w:eastAsia="zh-CN" w:bidi="ar-SA"/>
    </w:rPr>
  </w:style>
  <w:style w:type="paragraph" w:styleId="3">
    <w:name w:val="annotation text"/>
    <w:basedOn w:val="1"/>
    <w:qFormat/>
    <w:uiPriority w:val="0"/>
    <w:pPr>
      <w:jc w:val="left"/>
    </w:pPr>
  </w:style>
  <w:style w:type="paragraph" w:styleId="4">
    <w:name w:val="Body Text"/>
    <w:basedOn w:val="1"/>
    <w:qFormat/>
    <w:uiPriority w:val="0"/>
    <w:rPr>
      <w:rFonts w:ascii="仿宋" w:hAnsi="仿宋" w:eastAsia="仿宋" w:cs="仿宋"/>
      <w:sz w:val="31"/>
      <w:szCs w:val="31"/>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customStyle="1" w:styleId="10">
    <w:name w:val="font11"/>
    <w:basedOn w:val="9"/>
    <w:qFormat/>
    <w:uiPriority w:val="0"/>
    <w:rPr>
      <w:rFonts w:hint="eastAsia" w:ascii="宋体" w:hAnsi="宋体" w:eastAsia="宋体" w:cs="宋体"/>
      <w:color w:val="000000"/>
      <w:sz w:val="18"/>
      <w:szCs w:val="18"/>
      <w:u w:val="none"/>
    </w:rPr>
  </w:style>
  <w:style w:type="character" w:customStyle="1" w:styleId="11">
    <w:name w:val="font21"/>
    <w:basedOn w:val="9"/>
    <w:qFormat/>
    <w:uiPriority w:val="0"/>
    <w:rPr>
      <w:rFonts w:hint="eastAsia" w:ascii="宋体" w:hAnsi="宋体" w:eastAsia="宋体" w:cs="宋体"/>
      <w:color w:val="000000"/>
      <w:sz w:val="18"/>
      <w:szCs w:val="18"/>
      <w:u w:val="none"/>
    </w:rPr>
  </w:style>
  <w:style w:type="character" w:customStyle="1" w:styleId="12">
    <w:name w:val="font01"/>
    <w:basedOn w:val="9"/>
    <w:uiPriority w:val="0"/>
    <w:rPr>
      <w:rFonts w:hint="eastAsia" w:ascii="宋体" w:hAnsi="宋体" w:eastAsia="宋体" w:cs="宋体"/>
      <w:color w:val="000000"/>
      <w:sz w:val="18"/>
      <w:szCs w:val="18"/>
      <w:u w:val="none"/>
    </w:rPr>
  </w:style>
  <w:style w:type="paragraph" w:customStyle="1" w:styleId="13">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5940</Words>
  <Characters>7569</Characters>
  <Lines>75</Lines>
  <Paragraphs>21</Paragraphs>
  <TotalTime>30</TotalTime>
  <ScaleCrop>false</ScaleCrop>
  <LinksUpToDate>false</LinksUpToDate>
  <CharactersWithSpaces>7681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S.Dragon</cp:lastModifiedBy>
  <cp:lastPrinted>2025-02-07T06:34:00Z</cp:lastPrinted>
  <dcterms:modified xsi:type="dcterms:W3CDTF">2026-04-27T03:32:10Z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1C4E799DE3D94A73A25CF043F953EF32</vt:lpwstr>
  </property>
  <property fmtid="{D5CDD505-2E9C-101B-9397-08002B2CF9AE}" pid="4" name="KSOTemplateDocerSaveRecord">
    <vt:lpwstr>eyJoZGlkIjoiMjgxOWE5OWFjYzAwZDhlNzU5YTAyNTc3YWJjYTRkMmMiLCJ1c2VySWQiOiI0NTgzNzYwOTMifQ==</vt:lpwstr>
  </property>
</Properties>
</file>