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青岛农村商业银行股份有限公司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lang w:val="en-US" w:eastAsia="zh-CN"/>
        </w:rPr>
        <w:t>一季度</w:t>
      </w:r>
      <w:r>
        <w:rPr>
          <w:rFonts w:hint="eastAsia" w:ascii="方正小标宋简体" w:hAnsi="方正小标宋简体" w:eastAsia="方正小标宋简体" w:cs="方正小标宋简体"/>
          <w:sz w:val="44"/>
          <w:szCs w:val="44"/>
          <w:lang w:eastAsia="zh-CN"/>
        </w:rPr>
        <w:t>度第三支柱信息披露报告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pStyle w:val="2"/>
        <w:spacing w:before="0" w:beforeLines="0" w:after="0" w:afterLines="0"/>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一、引言</w:t>
      </w:r>
    </w:p>
    <w:p>
      <w:pPr>
        <w:pStyle w:val="2"/>
        <w:spacing w:beforeLines="0" w:afterLine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（一）披露依据</w:t>
      </w:r>
    </w:p>
    <w:p>
      <w:pPr>
        <w:pStyle w:val="2"/>
        <w:spacing w:beforeLines="0" w:afterLine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本报告根据国家金融监督管理总局</w:t>
      </w:r>
      <w:r>
        <w:rPr>
          <w:rFonts w:hint="eastAsia" w:ascii="仿宋_GB2312" w:hAnsi="仿宋_GB2312" w:eastAsia="仿宋_GB2312"/>
          <w:sz w:val="32"/>
          <w:szCs w:val="32"/>
          <w:lang w:val="en-US" w:eastAsia="zh-CN"/>
        </w:rPr>
        <w:t>2023</w:t>
      </w:r>
      <w:r>
        <w:rPr>
          <w:rFonts w:hint="eastAsia" w:ascii="仿宋_GB2312" w:hAnsi="仿宋_GB2312" w:eastAsia="仿宋_GB2312"/>
          <w:sz w:val="32"/>
          <w:szCs w:val="32"/>
          <w:lang w:eastAsia="zh-CN"/>
        </w:rPr>
        <w:t>年</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lang w:eastAsia="zh-CN"/>
        </w:rPr>
        <w:t>月发布的《商业银行资本管理办法》（以下简称《资本管理办法》）相关规定编制并披露。</w:t>
      </w:r>
    </w:p>
    <w:p>
      <w:pPr>
        <w:pStyle w:val="2"/>
        <w:spacing w:beforeLines="0" w:afterLine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（二）披露治理架构及内控流程</w:t>
      </w:r>
    </w:p>
    <w:p>
      <w:pPr>
        <w:pStyle w:val="2"/>
        <w:spacing w:beforeLines="0" w:afterLine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行建立并持续完善第三支柱信息披露体系，形成了组织架构健全、职责边界清晰的第三支柱信息披露治理架构，明确了董事会、监事会、高级管理层、总行各部门和附属机构在第三支柱信息披露中的职责分工，建立了由董事会批准并由高级管理层实施有效的内部控制流程，明确了第三支柱信息披露报告的编制、审议和发布流程，对信息披露内容进行合理审查，确保第三支柱披露信息真实、可靠。</w:t>
      </w:r>
    </w:p>
    <w:p>
      <w:pPr>
        <w:pStyle w:val="2"/>
        <w:spacing w:before="0" w:beforeLines="0" w:after="0" w:afterLines="0"/>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二、风险管理、关键审慎监管指标和风险加权资产概览</w:t>
      </w:r>
    </w:p>
    <w:p>
      <w:pPr>
        <w:pStyle w:val="2"/>
        <w:spacing w:beforeLines="0" w:afterLine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（一）监管并表关键审慎监管指标</w:t>
      </w:r>
    </w:p>
    <w:p>
      <w:pPr>
        <w:pStyle w:val="2"/>
        <w:spacing w:beforeLines="0" w:afterLine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截至2026年一季度末，本行核心一级资本充足率为</w:t>
      </w:r>
      <w:r>
        <w:rPr>
          <w:rFonts w:hint="eastAsia" w:ascii="仿宋_GB2312" w:hAnsi="仿宋_GB2312" w:eastAsia="仿宋_GB2312"/>
          <w:sz w:val="32"/>
          <w:szCs w:val="32"/>
          <w:lang w:val="en-US" w:eastAsia="zh-CN"/>
        </w:rPr>
        <w:t>10.43</w:t>
      </w:r>
      <w:r>
        <w:rPr>
          <w:rFonts w:hint="eastAsia" w:ascii="仿宋_GB2312" w:hAnsi="仿宋_GB2312" w:eastAsia="仿宋_GB2312"/>
          <w:sz w:val="32"/>
          <w:szCs w:val="32"/>
          <w:lang w:eastAsia="zh-CN"/>
        </w:rPr>
        <w:t>%，一级资本充足率为</w:t>
      </w:r>
      <w:r>
        <w:rPr>
          <w:rFonts w:hint="eastAsia" w:ascii="仿宋_GB2312" w:hAnsi="仿宋_GB2312" w:eastAsia="仿宋_GB2312"/>
          <w:sz w:val="32"/>
          <w:szCs w:val="32"/>
          <w:lang w:val="en-US" w:eastAsia="zh-CN"/>
        </w:rPr>
        <w:t>12.15</w:t>
      </w:r>
      <w:r>
        <w:rPr>
          <w:rFonts w:hint="eastAsia" w:ascii="仿宋_GB2312" w:hAnsi="仿宋_GB2312" w:eastAsia="仿宋_GB2312"/>
          <w:sz w:val="32"/>
          <w:szCs w:val="32"/>
          <w:lang w:eastAsia="zh-CN"/>
        </w:rPr>
        <w:t>%，资本充足率为</w:t>
      </w:r>
      <w:r>
        <w:rPr>
          <w:rFonts w:hint="eastAsia" w:ascii="仿宋_GB2312" w:hAnsi="仿宋_GB2312" w:eastAsia="仿宋_GB2312"/>
          <w:sz w:val="32"/>
          <w:szCs w:val="32"/>
          <w:lang w:val="en-US" w:eastAsia="zh-CN"/>
        </w:rPr>
        <w:t>13.86</w:t>
      </w:r>
      <w:r>
        <w:rPr>
          <w:rFonts w:hint="eastAsia" w:ascii="仿宋_GB2312" w:hAnsi="仿宋_GB2312" w:eastAsia="仿宋_GB2312"/>
          <w:sz w:val="32"/>
          <w:szCs w:val="32"/>
          <w:lang w:eastAsia="zh-CN"/>
        </w:rPr>
        <w:t>%，杠杆率为</w:t>
      </w:r>
      <w:r>
        <w:rPr>
          <w:rFonts w:hint="eastAsia" w:ascii="仿宋_GB2312" w:hAnsi="仿宋_GB2312" w:eastAsia="仿宋_GB2312"/>
          <w:sz w:val="32"/>
          <w:szCs w:val="32"/>
          <w:lang w:val="en-US" w:eastAsia="zh-CN"/>
        </w:rPr>
        <w:t>7.65</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流动性覆盖率为</w:t>
      </w:r>
      <w:r>
        <w:rPr>
          <w:rFonts w:hint="eastAsia" w:ascii="仿宋_GB2312" w:hAnsi="仿宋_GB2312" w:eastAsia="仿宋_GB2312"/>
          <w:sz w:val="32"/>
          <w:szCs w:val="32"/>
          <w:lang w:val="en-US" w:eastAsia="zh-CN"/>
        </w:rPr>
        <w:t>281.89</w:t>
      </w:r>
      <w:bookmarkStart w:id="0" w:name="_GoBack"/>
      <w:bookmarkEnd w:id="0"/>
      <w:r>
        <w:rPr>
          <w:rFonts w:hint="eastAsia" w:ascii="仿宋_GB2312" w:hAnsi="仿宋_GB2312" w:eastAsia="仿宋_GB2312"/>
          <w:sz w:val="32"/>
          <w:szCs w:val="32"/>
        </w:rPr>
        <w:t>%，净稳定资金比例为</w:t>
      </w:r>
      <w:r>
        <w:rPr>
          <w:rFonts w:hint="eastAsia" w:ascii="仿宋_GB2312" w:hAnsi="仿宋_GB2312" w:eastAsia="仿宋_GB2312"/>
          <w:sz w:val="32"/>
          <w:szCs w:val="32"/>
          <w:lang w:val="en-US" w:eastAsia="zh-CN"/>
        </w:rPr>
        <w:t>143.94</w:t>
      </w:r>
      <w:r>
        <w:rPr>
          <w:rFonts w:hint="eastAsia" w:ascii="仿宋_GB2312" w:hAnsi="仿宋_GB2312" w:eastAsia="仿宋_GB2312"/>
          <w:sz w:val="32"/>
          <w:szCs w:val="32"/>
        </w:rPr>
        <w:t>%，流动性比例为</w:t>
      </w:r>
      <w:r>
        <w:rPr>
          <w:rFonts w:hint="eastAsia" w:ascii="仿宋_GB2312" w:hAnsi="仿宋_GB2312" w:eastAsia="仿宋_GB2312"/>
          <w:sz w:val="32"/>
          <w:szCs w:val="32"/>
          <w:lang w:val="en-US" w:eastAsia="zh-CN"/>
        </w:rPr>
        <w:t>99.51</w:t>
      </w:r>
      <w:r>
        <w:rPr>
          <w:rFonts w:hint="eastAsia" w:ascii="仿宋_GB2312" w:hAnsi="仿宋_GB2312" w:eastAsia="仿宋_GB2312"/>
          <w:sz w:val="32"/>
          <w:szCs w:val="32"/>
        </w:rPr>
        <w:t>%，各项指标均符合监管要求。具体情况如下表所示</w:t>
      </w:r>
      <w:r>
        <w:rPr>
          <w:rFonts w:hint="eastAsia" w:ascii="仿宋_GB2312" w:hAnsi="仿宋_GB2312" w:eastAsia="仿宋_GB2312"/>
          <w:sz w:val="32"/>
          <w:szCs w:val="32"/>
          <w:lang w:eastAsia="zh-CN"/>
        </w:rPr>
        <w:t>：</w:t>
      </w:r>
    </w:p>
    <w:p>
      <w:pPr>
        <w:pStyle w:val="2"/>
        <w:ind w:firstLine="0" w:firstLineChars="0"/>
        <w:jc w:val="center"/>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表1</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lang w:eastAsia="zh-CN"/>
        </w:rPr>
        <w:t>KM1-监管并表关键审慎监管指标</w:t>
      </w:r>
    </w:p>
    <w:p>
      <w:pPr>
        <w:pStyle w:val="2"/>
        <w:ind w:firstLine="5500" w:firstLineChars="25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单位：人民币千元（百分比除外）</w:t>
      </w:r>
    </w:p>
    <w:tbl>
      <w:tblPr>
        <w:tblStyle w:val="8"/>
        <w:tblW w:w="9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2223"/>
        <w:gridCol w:w="1283"/>
        <w:gridCol w:w="1290"/>
        <w:gridCol w:w="1290"/>
        <w:gridCol w:w="1260"/>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监管并表关键审慎监管指标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细黑" w:hAnsi="华文细黑" w:eastAsia="华文细黑" w:cs="华文细黑"/>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2026年3月31日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2025年12月31日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2025年9月30日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2025年6月30日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核心一级资本净额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36,270,484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34,857,835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35,525,641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34,969,358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34,221,456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一级资本净额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42,265,889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42,850,561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45,515,576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39,968,675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39,227,698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资本净额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48,210,167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48,651,769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51,191,616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45,556,181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44,829,613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风险加权资产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347821303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346,069,563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332,937,922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330,657,445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333,317,560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核心一级资本充足率（%）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10.67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10.58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一级资本充足率（%）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13.67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12.09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资本充足率（%）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15.38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13.78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储备资本要求（%）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逆周期资本要求（%）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全球系统重要性银行或国内系统重要性银行附加资本要求（%）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其他各级资本要求（%）（8+9+10）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满足最低资本要求后的可用核心一级资本净额占风险加权资产的比例（%）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5.67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5.58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调整后表内外资产余额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552,186,734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555,711,513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558,879,043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549,836,198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569,145,896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7.65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7.27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14a</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杠杆率a（%）</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7.65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7.27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合格优质流动性资产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72003376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54,138,666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75,823,372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58,052,265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61,073,724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现金净流出量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25543531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14,281,026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24,150,771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16,638,469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23,438,374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流动性覆盖率（%）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281.89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379.10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313.96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348.90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260.57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18</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可用稳定资金合计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346639928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348,057,417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352,149,744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349,135,180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348,270,371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19</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所需稳定资金合计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240819938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239,417,522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241,532,780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244,332,993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245,651,272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净稳定资金比例（%）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143.94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145.38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142.89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left"/>
              <w:textAlignment w:val="center"/>
              <w:rPr>
                <w:rFonts w:hint="eastAsia" w:ascii="华文细黑" w:hAnsi="华文细黑" w:eastAsia="华文细黑" w:cs="华文细黑"/>
                <w:b/>
                <w:bCs/>
                <w:i w:val="0"/>
                <w:iCs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流动性比例（%）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99.51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108.22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104.21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95.27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80.78</w:t>
            </w:r>
          </w:p>
        </w:tc>
      </w:tr>
    </w:tbl>
    <w:p>
      <w:pPr>
        <w:pStyle w:val="2"/>
        <w:ind w:firstLine="0" w:firstLineChars="0"/>
        <w:rPr>
          <w:rFonts w:hint="eastAsia" w:ascii="仿宋_GB2312" w:hAnsi="仿宋_GB2312" w:eastAsia="仿宋_GB2312"/>
          <w:sz w:val="32"/>
          <w:szCs w:val="32"/>
          <w:lang w:eastAsia="zh-CN"/>
        </w:rPr>
      </w:pPr>
    </w:p>
    <w:p>
      <w:pPr>
        <w:pStyle w:val="2"/>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（二）风险加权资产概览</w:t>
      </w:r>
    </w:p>
    <w:p>
      <w:pPr>
        <w:pStyle w:val="2"/>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行依据《资本管理办法》计量资本充足率。信用风险加权资产计量采用权重法，市场风险加权资产计量采用简化标准法，操作风险加权资产计量采用基本指标法。截至2026年一季度末，各风险加权资产计量结果如下表所示：</w:t>
      </w:r>
    </w:p>
    <w:p>
      <w:pPr>
        <w:pStyle w:val="2"/>
        <w:ind w:firstLine="0" w:firstLineChars="0"/>
        <w:jc w:val="center"/>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表2</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lang w:eastAsia="zh-CN"/>
        </w:rPr>
        <w:t>OV1-风险加权资产概览</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单位：人民币千元（百分比除外）</w:t>
      </w:r>
    </w:p>
    <w:tbl>
      <w:tblPr>
        <w:tblStyle w:val="8"/>
        <w:tblW w:w="7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7"/>
        <w:gridCol w:w="1905"/>
        <w:gridCol w:w="1630"/>
        <w:gridCol w:w="1920"/>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24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风险加权资产概况</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风险加权资产</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最低资本要求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2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2026年3月31日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2025年12月31日</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2026年3月31日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信用风险</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321,982,168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320,245,257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25,758,573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市场风险</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5,939,197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7,278,559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475,136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操作风险</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19,899,938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18,545,747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1,591,995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交易账簿和银行账簿间转换的资本要求</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合计</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347,821,303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346,069,563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27,825,704 </w:t>
            </w:r>
          </w:p>
        </w:tc>
      </w:tr>
    </w:tbl>
    <w:p>
      <w:pPr>
        <w:pStyle w:val="2"/>
        <w:spacing w:beforeLines="0" w:afterLines="0"/>
        <w:ind w:left="640" w:hanging="640" w:hanging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三、杠杆率</w:t>
      </w:r>
    </w:p>
    <w:p>
      <w:pPr>
        <w:pStyle w:val="2"/>
        <w:spacing w:beforeLines="0" w:afterLines="0"/>
        <w:ind w:left="638" w:leftChars="304"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（一）杠杆率监管项目与相关会计项目的差异</w:t>
      </w:r>
    </w:p>
    <w:p>
      <w:pPr>
        <w:pStyle w:val="2"/>
        <w:spacing w:beforeLines="0" w:afterLines="0"/>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截至2026年一季度末，本行杠杆率监管项目与相关会计项目差异的定量信息如下表所示：</w:t>
      </w:r>
    </w:p>
    <w:p>
      <w:pPr>
        <w:pStyle w:val="2"/>
        <w:ind w:firstLine="0" w:firstLineChars="0"/>
        <w:jc w:val="center"/>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表5</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lang w:eastAsia="zh-CN"/>
        </w:rPr>
        <w:t>LR1-杠杆率监管项目与相关会计项目的差异</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单位：人民币千元（百分比除外）</w:t>
      </w:r>
    </w:p>
    <w:tbl>
      <w:tblPr>
        <w:tblStyle w:val="8"/>
        <w:tblW w:w="4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2265"/>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杠杆率监管项目与相关会计项目的差异</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2026年3月31日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并表总资产</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508,917,809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并表调整项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客户资产调整项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衍生工具调整项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17,571,601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证券融资交易调整项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表外项目调整项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27,747,407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资产证券化交易调整项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未结算金融资产调整项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现金池调整项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存款准备金调整项（如有）</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审慎估值和减值准备调整项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其他调整项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-2,050,053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调整后表内外资产余额</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552,186,734 </w:t>
            </w:r>
          </w:p>
        </w:tc>
      </w:tr>
    </w:tbl>
    <w:p>
      <w:pPr>
        <w:pStyle w:val="2"/>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（二）杠杆率</w:t>
      </w:r>
    </w:p>
    <w:p>
      <w:pPr>
        <w:pStyle w:val="2"/>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截至2026年一季度末，本行杠杆率为</w:t>
      </w:r>
      <w:r>
        <w:rPr>
          <w:rFonts w:hint="eastAsia" w:ascii="仿宋_GB2312" w:hAnsi="仿宋_GB2312" w:eastAsia="仿宋_GB2312"/>
          <w:sz w:val="32"/>
          <w:szCs w:val="32"/>
          <w:lang w:val="en-US" w:eastAsia="zh-CN"/>
        </w:rPr>
        <w:t>7.65</w:t>
      </w:r>
      <w:r>
        <w:rPr>
          <w:rFonts w:hint="eastAsia" w:ascii="仿宋_GB2312" w:hAnsi="仿宋_GB2312" w:eastAsia="仿宋_GB2312"/>
          <w:sz w:val="32"/>
          <w:szCs w:val="32"/>
          <w:lang w:eastAsia="zh-CN"/>
        </w:rPr>
        <w:t>%，满足监管不低于4%的要求。具体杠杆率情况如下表：</w:t>
      </w:r>
    </w:p>
    <w:p>
      <w:pPr>
        <w:pStyle w:val="2"/>
        <w:ind w:firstLine="0" w:firstLineChars="0"/>
        <w:jc w:val="center"/>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表6</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LR2-杠杆率</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单位：人民币千元（百分比除外）</w:t>
      </w:r>
    </w:p>
    <w:tbl>
      <w:tblPr>
        <w:tblStyle w:val="8"/>
        <w:tblW w:w="7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0"/>
        <w:gridCol w:w="2715"/>
        <w:gridCol w:w="1837"/>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3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3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2026年3月31日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262" w:type="dxa"/>
            <w:gridSpan w:val="4"/>
            <w:tcBorders>
              <w:lef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表内资产余额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表内资产（除衍生工具和证券融资交易外）</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515,656,346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506,563,256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减：减值准备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-12,249,508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-13,557,374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减：一级资本扣除项</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-2,050,053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-2,240,162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调整后的表内资产余额（衍生工具和证券融资交易除外）</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501,356,785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490,765,720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衍生工具资产余额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各类衍生工具的重置成本（扣除合格保证金，考虑双边净额结算协议的影响）</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476,430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1,090,117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各类衍生工具的潜在风险暴露</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17,571,601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22,006,012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已从资产负债表中扣除的抵质押品总和</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减：因提供合格保证金形成的应收资产</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减：为客户提供清算服务时与中央交易对手交易形成的衍生工具资产余额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卖出信用衍生工具的名义本金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减：可扣除的卖出信用衍生工具资产余额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衍生工具资产余额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18,048,031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23,096,129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证券融资交易资产余额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证券融资交易的会计资产余额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5,034,511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8,687,491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减：可以扣除的证券融资交易资产余额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15</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证券融资交易的交易对手信用风险暴露</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代理证券融资交易形成的证券融资交易资产余额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17</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证券融资交易资产余额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5,034,511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8,687,491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表外项目余额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18</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表外项目余额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46,276,468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62,498,477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减：因信用转换调整的表外项目余额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-18,338,925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-29,111,575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减：减值准备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-190,136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-224,730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调整后的表外项目余额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27,747,407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33,162,173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一级资本净额和调整后表内外资产余额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22</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一级资本净额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42,265,889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42,850,561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23</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调整后表内外资产余额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552,186,734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555,711,513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7.65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24a</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杠杆率a（%）</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7.65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最低杠杆率要求（%）</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4.00 </w:t>
            </w:r>
          </w:p>
        </w:tc>
      </w:tr>
    </w:tbl>
    <w:p>
      <w:pPr>
        <w:pStyle w:val="2"/>
        <w:ind w:firstLine="0" w:firstLineChars="0"/>
        <w:rPr>
          <w:rFonts w:hint="eastAsia" w:ascii="仿宋_GB2312" w:hAnsi="仿宋_GB2312" w:eastAsia="仿宋_GB2312"/>
          <w:sz w:val="32"/>
          <w:szCs w:val="32"/>
          <w:lang w:eastAsia="zh-CN"/>
        </w:rPr>
      </w:pPr>
    </w:p>
    <w:p>
      <w:pPr>
        <w:pStyle w:val="2"/>
        <w:numPr>
          <w:ilvl w:val="-1"/>
          <w:numId w:val="0"/>
        </w:numPr>
        <w:ind w:left="0" w:leftChars="0" w:firstLine="640" w:firstLineChars="0"/>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62BA"/>
    <w:rsid w:val="00F24606"/>
    <w:rsid w:val="013378EC"/>
    <w:rsid w:val="016C4A53"/>
    <w:rsid w:val="01ED0F82"/>
    <w:rsid w:val="026754E7"/>
    <w:rsid w:val="02B44D5B"/>
    <w:rsid w:val="03ED5D4A"/>
    <w:rsid w:val="042B5EE3"/>
    <w:rsid w:val="053910E8"/>
    <w:rsid w:val="05EF2542"/>
    <w:rsid w:val="05F44D61"/>
    <w:rsid w:val="0711051E"/>
    <w:rsid w:val="071528C6"/>
    <w:rsid w:val="07E16B19"/>
    <w:rsid w:val="080F2845"/>
    <w:rsid w:val="086E188C"/>
    <w:rsid w:val="097D5A32"/>
    <w:rsid w:val="09EA1B09"/>
    <w:rsid w:val="0A925C2B"/>
    <w:rsid w:val="0AAA770C"/>
    <w:rsid w:val="0AEB4A39"/>
    <w:rsid w:val="0BD66005"/>
    <w:rsid w:val="0C1B1D98"/>
    <w:rsid w:val="0C232E09"/>
    <w:rsid w:val="0D3270C4"/>
    <w:rsid w:val="12D84152"/>
    <w:rsid w:val="12E10411"/>
    <w:rsid w:val="12E87171"/>
    <w:rsid w:val="13CB1888"/>
    <w:rsid w:val="14CF06EB"/>
    <w:rsid w:val="15BF328E"/>
    <w:rsid w:val="16426B6B"/>
    <w:rsid w:val="173A79C1"/>
    <w:rsid w:val="18177A39"/>
    <w:rsid w:val="18CD0E97"/>
    <w:rsid w:val="19194716"/>
    <w:rsid w:val="19BD2480"/>
    <w:rsid w:val="1A2C7223"/>
    <w:rsid w:val="1A671C0E"/>
    <w:rsid w:val="1BBC0A2B"/>
    <w:rsid w:val="1BDF238A"/>
    <w:rsid w:val="1C485306"/>
    <w:rsid w:val="1CE0395A"/>
    <w:rsid w:val="1D5D38F5"/>
    <w:rsid w:val="1DD27A9D"/>
    <w:rsid w:val="1DD55F02"/>
    <w:rsid w:val="1E1665EA"/>
    <w:rsid w:val="1E4B57BF"/>
    <w:rsid w:val="1FA95A20"/>
    <w:rsid w:val="2003755A"/>
    <w:rsid w:val="205154E2"/>
    <w:rsid w:val="215623A0"/>
    <w:rsid w:val="21E876C8"/>
    <w:rsid w:val="226646C7"/>
    <w:rsid w:val="22936A35"/>
    <w:rsid w:val="239D567C"/>
    <w:rsid w:val="25B764C7"/>
    <w:rsid w:val="27587CCE"/>
    <w:rsid w:val="28E0749D"/>
    <w:rsid w:val="29F9365D"/>
    <w:rsid w:val="2A3F5892"/>
    <w:rsid w:val="2A6D37AC"/>
    <w:rsid w:val="2ABD1F89"/>
    <w:rsid w:val="2B234148"/>
    <w:rsid w:val="2DB5450D"/>
    <w:rsid w:val="2EB8027C"/>
    <w:rsid w:val="2FB43FD3"/>
    <w:rsid w:val="31AF0A9C"/>
    <w:rsid w:val="322B63AC"/>
    <w:rsid w:val="323D5640"/>
    <w:rsid w:val="33516F70"/>
    <w:rsid w:val="33AF3C8A"/>
    <w:rsid w:val="33B444E3"/>
    <w:rsid w:val="33D52E5F"/>
    <w:rsid w:val="34B2309A"/>
    <w:rsid w:val="359046E7"/>
    <w:rsid w:val="35BC1A4E"/>
    <w:rsid w:val="36676D1E"/>
    <w:rsid w:val="36BF0BA3"/>
    <w:rsid w:val="36E55A33"/>
    <w:rsid w:val="38C14911"/>
    <w:rsid w:val="39411FC5"/>
    <w:rsid w:val="3C147E59"/>
    <w:rsid w:val="3C5D1E98"/>
    <w:rsid w:val="3E600BFE"/>
    <w:rsid w:val="3EBC4775"/>
    <w:rsid w:val="3F0C005E"/>
    <w:rsid w:val="3F784E08"/>
    <w:rsid w:val="3FAA7E2E"/>
    <w:rsid w:val="406D0A61"/>
    <w:rsid w:val="42130178"/>
    <w:rsid w:val="4259180B"/>
    <w:rsid w:val="436308A8"/>
    <w:rsid w:val="439C01C0"/>
    <w:rsid w:val="43CE4B96"/>
    <w:rsid w:val="43DF0EA4"/>
    <w:rsid w:val="441E1DA9"/>
    <w:rsid w:val="442449E6"/>
    <w:rsid w:val="46542381"/>
    <w:rsid w:val="4699601F"/>
    <w:rsid w:val="46A05D52"/>
    <w:rsid w:val="485C3F80"/>
    <w:rsid w:val="487C587B"/>
    <w:rsid w:val="488471EB"/>
    <w:rsid w:val="48F12E59"/>
    <w:rsid w:val="492E6558"/>
    <w:rsid w:val="493A6F33"/>
    <w:rsid w:val="4A8D0B15"/>
    <w:rsid w:val="4B8179A1"/>
    <w:rsid w:val="4BEB59AC"/>
    <w:rsid w:val="4BF607CB"/>
    <w:rsid w:val="4CEA1F77"/>
    <w:rsid w:val="4DCE208E"/>
    <w:rsid w:val="4DD967AF"/>
    <w:rsid w:val="4E603D23"/>
    <w:rsid w:val="500A5B5B"/>
    <w:rsid w:val="501207E2"/>
    <w:rsid w:val="502309D4"/>
    <w:rsid w:val="50CF02A4"/>
    <w:rsid w:val="51F31300"/>
    <w:rsid w:val="51FA4C31"/>
    <w:rsid w:val="53CE7088"/>
    <w:rsid w:val="54DA6B45"/>
    <w:rsid w:val="54E84B7F"/>
    <w:rsid w:val="55164F4F"/>
    <w:rsid w:val="551C7FA4"/>
    <w:rsid w:val="565718EB"/>
    <w:rsid w:val="56981DB2"/>
    <w:rsid w:val="56AF3248"/>
    <w:rsid w:val="57AE6829"/>
    <w:rsid w:val="57F93FAA"/>
    <w:rsid w:val="57F97233"/>
    <w:rsid w:val="58E32895"/>
    <w:rsid w:val="58EB165F"/>
    <w:rsid w:val="5A574984"/>
    <w:rsid w:val="5A8911D8"/>
    <w:rsid w:val="5B2F7DDB"/>
    <w:rsid w:val="5BBC32C1"/>
    <w:rsid w:val="5CB85D2B"/>
    <w:rsid w:val="5D3F1C47"/>
    <w:rsid w:val="5E0F5760"/>
    <w:rsid w:val="5EAF3C67"/>
    <w:rsid w:val="5F40389D"/>
    <w:rsid w:val="5FD15D41"/>
    <w:rsid w:val="600202BF"/>
    <w:rsid w:val="60A75B62"/>
    <w:rsid w:val="61A214AE"/>
    <w:rsid w:val="636640D7"/>
    <w:rsid w:val="63E14F52"/>
    <w:rsid w:val="650D3C56"/>
    <w:rsid w:val="66E64526"/>
    <w:rsid w:val="66F5753F"/>
    <w:rsid w:val="69075AE0"/>
    <w:rsid w:val="696A319E"/>
    <w:rsid w:val="6A477D54"/>
    <w:rsid w:val="6B0E3EE0"/>
    <w:rsid w:val="6B1D1120"/>
    <w:rsid w:val="6B3E3983"/>
    <w:rsid w:val="6B5C2B66"/>
    <w:rsid w:val="6CE32422"/>
    <w:rsid w:val="6D0D6700"/>
    <w:rsid w:val="6D317D8E"/>
    <w:rsid w:val="6DEB4065"/>
    <w:rsid w:val="6E410F56"/>
    <w:rsid w:val="6E6D0EC6"/>
    <w:rsid w:val="6EB14D27"/>
    <w:rsid w:val="6ED10310"/>
    <w:rsid w:val="6F267DB4"/>
    <w:rsid w:val="6F3E1E02"/>
    <w:rsid w:val="6FBE1D83"/>
    <w:rsid w:val="715447E2"/>
    <w:rsid w:val="723A6DC5"/>
    <w:rsid w:val="724F4299"/>
    <w:rsid w:val="72B33FBD"/>
    <w:rsid w:val="72C401F1"/>
    <w:rsid w:val="73276867"/>
    <w:rsid w:val="73384058"/>
    <w:rsid w:val="751562E5"/>
    <w:rsid w:val="75913620"/>
    <w:rsid w:val="7611138F"/>
    <w:rsid w:val="76585514"/>
    <w:rsid w:val="78395658"/>
    <w:rsid w:val="7A882F19"/>
    <w:rsid w:val="7B063163"/>
    <w:rsid w:val="7B946EB8"/>
    <w:rsid w:val="7BBA02FD"/>
    <w:rsid w:val="7BEA24DC"/>
    <w:rsid w:val="7E790D1A"/>
    <w:rsid w:val="7FB5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line="560" w:lineRule="exact"/>
      <w:ind w:firstLine="420" w:firstLineChars="200"/>
      <w:jc w:val="both"/>
    </w:pPr>
    <w:rPr>
      <w:rFonts w:ascii="Times New Roman" w:hAnsi="Times New Roman" w:eastAsia="宋体" w:cs="仿宋_GB2312"/>
      <w:kern w:val="2"/>
      <w:sz w:val="28"/>
      <w:szCs w:val="28"/>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customStyle="1" w:styleId="10">
    <w:name w:val="font11"/>
    <w:basedOn w:val="9"/>
    <w:qFormat/>
    <w:uiPriority w:val="0"/>
    <w:rPr>
      <w:rFonts w:hint="eastAsia" w:ascii="宋体" w:hAnsi="宋体" w:eastAsia="宋体" w:cs="宋体"/>
      <w:color w:val="000000"/>
      <w:sz w:val="18"/>
      <w:szCs w:val="18"/>
      <w:u w:val="none"/>
    </w:rPr>
  </w:style>
  <w:style w:type="character" w:customStyle="1" w:styleId="11">
    <w:name w:val="font21"/>
    <w:basedOn w:val="9"/>
    <w:uiPriority w:val="0"/>
    <w:rPr>
      <w:rFonts w:hint="eastAsia" w:ascii="宋体" w:hAnsi="宋体" w:eastAsia="宋体" w:cs="宋体"/>
      <w:color w:val="000000"/>
      <w:sz w:val="18"/>
      <w:szCs w:val="18"/>
      <w:u w:val="none"/>
    </w:rPr>
  </w:style>
  <w:style w:type="character" w:customStyle="1" w:styleId="12">
    <w:name w:val="font01"/>
    <w:basedOn w:val="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QRCB-W</cp:lastModifiedBy>
  <cp:lastPrinted>2025-02-07T06:34:00Z</cp:lastPrinted>
  <dcterms:modified xsi:type="dcterms:W3CDTF">2026-04-27T03:31:30Z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1C4E799DE3D94A73A25CF043F953EF32</vt:lpwstr>
  </property>
</Properties>
</file>