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青岛农村商业银行股份有限公司</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202</w:t>
      </w:r>
      <w:r>
        <w:rPr>
          <w:rFonts w:hint="eastAsia" w:ascii="方正小标宋简体" w:hAnsi="方正小标宋简体" w:eastAsia="方正小标宋简体" w:cs="方正小标宋简体"/>
          <w:sz w:val="44"/>
          <w:szCs w:val="44"/>
          <w:lang w:val="en-US" w:eastAsia="zh-CN"/>
        </w:rPr>
        <w:t>6</w:t>
      </w:r>
      <w:r>
        <w:rPr>
          <w:rFonts w:hint="eastAsia" w:ascii="方正小标宋简体" w:hAnsi="方正小标宋简体" w:eastAsia="方正小标宋简体" w:cs="方正小标宋简体"/>
          <w:sz w:val="44"/>
          <w:szCs w:val="44"/>
          <w:lang w:eastAsia="zh-CN"/>
        </w:rPr>
        <w:t>年</w:t>
      </w:r>
      <w:r>
        <w:rPr>
          <w:rFonts w:hint="eastAsia" w:ascii="方正小标宋简体" w:hAnsi="方正小标宋简体" w:eastAsia="方正小标宋简体" w:cs="方正小标宋简体"/>
          <w:sz w:val="44"/>
          <w:szCs w:val="44"/>
          <w:lang w:val="en-US" w:eastAsia="zh-CN"/>
        </w:rPr>
        <w:t>上半年</w:t>
      </w:r>
      <w:r>
        <w:rPr>
          <w:rFonts w:hint="eastAsia" w:ascii="方正小标宋简体" w:hAnsi="方正小标宋简体" w:eastAsia="方正小标宋简体" w:cs="方正小标宋简体"/>
          <w:sz w:val="44"/>
          <w:szCs w:val="44"/>
          <w:lang w:eastAsia="zh-CN"/>
        </w:rPr>
        <w:t>度第三支柱信息披露报告</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sz w:val="32"/>
          <w:szCs w:val="32"/>
          <w:lang w:val="en-US" w:eastAsia="zh-CN"/>
        </w:rPr>
      </w:pPr>
    </w:p>
    <w:p>
      <w:pPr>
        <w:pStyle w:val="2"/>
        <w:spacing w:before="0" w:beforeLines="0" w:after="0" w:afterLines="0"/>
        <w:ind w:firstLine="64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一、引言</w:t>
      </w:r>
    </w:p>
    <w:p>
      <w:pPr>
        <w:pStyle w:val="2"/>
        <w:spacing w:beforeLines="0" w:afterLines="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（一）披露依据</w:t>
      </w:r>
    </w:p>
    <w:p>
      <w:pPr>
        <w:pStyle w:val="2"/>
        <w:spacing w:beforeLines="0" w:afterLines="0"/>
        <w:rPr>
          <w:rFonts w:hint="eastAsia" w:ascii="仿宋_GB2312" w:hAnsi="仿宋_GB2312" w:eastAsia="仿宋_GB2312"/>
          <w:sz w:val="32"/>
          <w:szCs w:val="32"/>
          <w:lang w:eastAsia="zh-CN"/>
        </w:rPr>
      </w:pPr>
      <w:r>
        <w:rPr>
          <w:rFonts w:hint="eastAsia" w:ascii="仿宋_GB2312" w:hAnsi="仿宋_GB2312" w:eastAsia="仿宋_GB2312"/>
          <w:sz w:val="32"/>
          <w:szCs w:val="32"/>
          <w:lang w:eastAsia="zh-CN"/>
        </w:rPr>
        <w:t>本报告根据国家金融监督管理总局</w:t>
      </w:r>
      <w:r>
        <w:rPr>
          <w:rFonts w:hint="eastAsia" w:ascii="仿宋_GB2312" w:hAnsi="仿宋_GB2312" w:eastAsia="仿宋_GB2312"/>
          <w:sz w:val="32"/>
          <w:szCs w:val="32"/>
          <w:lang w:val="en-US" w:eastAsia="zh-CN"/>
        </w:rPr>
        <w:t>2023</w:t>
      </w:r>
      <w:r>
        <w:rPr>
          <w:rFonts w:hint="eastAsia" w:ascii="仿宋_GB2312" w:hAnsi="仿宋_GB2312" w:eastAsia="仿宋_GB2312"/>
          <w:sz w:val="32"/>
          <w:szCs w:val="32"/>
          <w:lang w:eastAsia="zh-CN"/>
        </w:rPr>
        <w:t>年</w:t>
      </w:r>
      <w:r>
        <w:rPr>
          <w:rFonts w:hint="eastAsia" w:ascii="仿宋_GB2312" w:hAnsi="仿宋_GB2312" w:eastAsia="仿宋_GB2312"/>
          <w:sz w:val="32"/>
          <w:szCs w:val="32"/>
          <w:lang w:val="en-US" w:eastAsia="zh-CN"/>
        </w:rPr>
        <w:t>11</w:t>
      </w:r>
      <w:r>
        <w:rPr>
          <w:rFonts w:hint="eastAsia" w:ascii="仿宋_GB2312" w:hAnsi="仿宋_GB2312" w:eastAsia="仿宋_GB2312"/>
          <w:sz w:val="32"/>
          <w:szCs w:val="32"/>
          <w:lang w:eastAsia="zh-CN"/>
        </w:rPr>
        <w:t>月发布的《商业银行资本管理办法》（以下简称《资本管理办法》）相关规定编制并披露。</w:t>
      </w:r>
    </w:p>
    <w:p>
      <w:pPr>
        <w:pStyle w:val="2"/>
        <w:spacing w:beforeLines="0" w:afterLines="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（二）披露治理架构及内控流程</w:t>
      </w:r>
    </w:p>
    <w:p>
      <w:pPr>
        <w:pStyle w:val="2"/>
        <w:spacing w:beforeLines="0" w:afterLines="0"/>
        <w:rPr>
          <w:rFonts w:hint="eastAsia" w:ascii="仿宋_GB2312" w:hAnsi="仿宋_GB2312" w:eastAsia="仿宋_GB2312"/>
          <w:sz w:val="32"/>
          <w:szCs w:val="32"/>
          <w:lang w:eastAsia="zh-CN"/>
        </w:rPr>
      </w:pPr>
      <w:r>
        <w:rPr>
          <w:rFonts w:hint="eastAsia" w:ascii="仿宋_GB2312" w:hAnsi="仿宋_GB2312" w:eastAsia="仿宋_GB2312"/>
          <w:sz w:val="32"/>
          <w:szCs w:val="32"/>
          <w:lang w:eastAsia="zh-CN"/>
        </w:rPr>
        <w:t>本行建立并持续完善第三支柱信息披露体系，形成了组织架构健全、职责边界清晰的第三支柱信息披露治理架构，明确了董事会、高级管理层、总行各部门和附属机构在第三支柱信息披露中的职责分工，建立了由董事会批准并由高级管理层实施有效的内部控制流程，明确了第三支柱信息披露报告的编制、审议和发布流程，对信息披露内容进行合理审查，确保第三支柱披露信息真实、可靠。</w:t>
      </w:r>
    </w:p>
    <w:p>
      <w:pPr>
        <w:pStyle w:val="2"/>
        <w:spacing w:before="0" w:beforeLines="0" w:after="0" w:afterLines="0"/>
        <w:ind w:firstLine="640"/>
        <w:rPr>
          <w:rFonts w:hint="eastAsia" w:ascii="黑体" w:hAnsi="黑体" w:eastAsia="黑体" w:cs="黑体"/>
          <w:sz w:val="32"/>
          <w:szCs w:val="32"/>
          <w:lang w:eastAsia="zh-CN"/>
        </w:rPr>
      </w:pPr>
      <w:r>
        <w:rPr>
          <w:rFonts w:hint="eastAsia" w:ascii="黑体" w:hAnsi="黑体" w:eastAsia="黑体" w:cs="黑体"/>
          <w:sz w:val="32"/>
          <w:szCs w:val="32"/>
          <w:lang w:eastAsia="zh-CN"/>
        </w:rPr>
        <w:t>二、风险管理、关键审慎监管指标和风险加权资产概览</w:t>
      </w:r>
    </w:p>
    <w:p>
      <w:pPr>
        <w:pStyle w:val="2"/>
        <w:spacing w:beforeLines="0" w:afterLines="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（一）监管并表关键审慎监管指标</w:t>
      </w:r>
    </w:p>
    <w:p>
      <w:pPr>
        <w:pStyle w:val="2"/>
        <w:spacing w:beforeLines="0" w:afterLines="0"/>
        <w:rPr>
          <w:rFonts w:hint="eastAsia" w:ascii="仿宋_GB2312" w:hAnsi="仿宋_GB2312" w:eastAsia="仿宋_GB2312"/>
          <w:sz w:val="32"/>
          <w:szCs w:val="32"/>
          <w:lang w:eastAsia="zh-CN"/>
        </w:rPr>
      </w:pPr>
      <w:r>
        <w:rPr>
          <w:rFonts w:hint="eastAsia" w:ascii="仿宋_GB2312" w:hAnsi="仿宋_GB2312" w:eastAsia="仿宋_GB2312"/>
          <w:sz w:val="32"/>
          <w:szCs w:val="32"/>
          <w:lang w:eastAsia="zh-CN"/>
        </w:rPr>
        <w:t>截至</w:t>
      </w:r>
      <w:r>
        <w:rPr>
          <w:rFonts w:hint="eastAsia" w:ascii="仿宋_GB2312" w:hAnsi="仿宋_GB2312" w:eastAsia="仿宋_GB2312"/>
          <w:sz w:val="32"/>
          <w:szCs w:val="32"/>
          <w:lang w:val="en-US" w:eastAsia="zh-CN"/>
        </w:rPr>
        <w:t>2026年6月末</w:t>
      </w:r>
      <w:r>
        <w:rPr>
          <w:rFonts w:hint="eastAsia" w:ascii="仿宋_GB2312" w:hAnsi="仿宋_GB2312" w:eastAsia="仿宋_GB2312"/>
          <w:sz w:val="32"/>
          <w:szCs w:val="32"/>
          <w:lang w:eastAsia="zh-CN"/>
        </w:rPr>
        <w:t>，本行核心一级资本充足率为</w:t>
      </w:r>
      <w:r>
        <w:rPr>
          <w:rFonts w:hint="eastAsia" w:ascii="仿宋_GB2312" w:hAnsi="仿宋_GB2312" w:eastAsia="仿宋_GB2312"/>
          <w:sz w:val="32"/>
          <w:szCs w:val="32"/>
          <w:lang w:val="en-US" w:eastAsia="zh-CN"/>
        </w:rPr>
        <w:t>10.30</w:t>
      </w:r>
      <w:r>
        <w:rPr>
          <w:rFonts w:hint="eastAsia" w:ascii="仿宋_GB2312" w:hAnsi="仿宋_GB2312" w:eastAsia="仿宋_GB2312"/>
          <w:sz w:val="32"/>
          <w:szCs w:val="32"/>
          <w:lang w:eastAsia="zh-CN"/>
        </w:rPr>
        <w:t>%，一级资本充足率为</w:t>
      </w:r>
      <w:r>
        <w:rPr>
          <w:rFonts w:hint="eastAsia" w:ascii="仿宋_GB2312" w:hAnsi="仿宋_GB2312" w:eastAsia="仿宋_GB2312"/>
          <w:sz w:val="32"/>
          <w:szCs w:val="32"/>
          <w:lang w:val="en-US" w:eastAsia="zh-CN"/>
        </w:rPr>
        <w:t>11.68</w:t>
      </w:r>
      <w:r>
        <w:rPr>
          <w:rFonts w:hint="eastAsia" w:ascii="仿宋_GB2312" w:hAnsi="仿宋_GB2312" w:eastAsia="仿宋_GB2312"/>
          <w:sz w:val="32"/>
          <w:szCs w:val="32"/>
          <w:lang w:eastAsia="zh-CN"/>
        </w:rPr>
        <w:t>%，资本充足率为</w:t>
      </w:r>
      <w:r>
        <w:rPr>
          <w:rFonts w:hint="eastAsia" w:ascii="仿宋_GB2312" w:hAnsi="仿宋_GB2312" w:eastAsia="仿宋_GB2312"/>
          <w:sz w:val="32"/>
          <w:szCs w:val="32"/>
          <w:lang w:val="en-US" w:eastAsia="zh-CN"/>
        </w:rPr>
        <w:t>13.28</w:t>
      </w:r>
      <w:r>
        <w:rPr>
          <w:rFonts w:hint="eastAsia" w:ascii="仿宋_GB2312" w:hAnsi="仿宋_GB2312" w:eastAsia="仿宋_GB2312"/>
          <w:sz w:val="32"/>
          <w:szCs w:val="32"/>
          <w:lang w:eastAsia="zh-CN"/>
        </w:rPr>
        <w:t>%，杠杆率为</w:t>
      </w:r>
      <w:r>
        <w:rPr>
          <w:rFonts w:hint="eastAsia" w:ascii="仿宋_GB2312" w:hAnsi="仿宋_GB2312" w:eastAsia="仿宋_GB2312"/>
          <w:sz w:val="32"/>
          <w:szCs w:val="32"/>
          <w:lang w:val="en-US" w:eastAsia="zh-CN"/>
        </w:rPr>
        <w:t>7.82</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流动性覆盖率为</w:t>
      </w:r>
      <w:r>
        <w:rPr>
          <w:rFonts w:hint="eastAsia" w:ascii="仿宋_GB2312" w:hAnsi="仿宋_GB2312" w:eastAsia="仿宋_GB2312"/>
          <w:sz w:val="32"/>
          <w:szCs w:val="32"/>
          <w:lang w:val="en-US" w:eastAsia="zh-CN"/>
        </w:rPr>
        <w:t>220.12</w:t>
      </w:r>
      <w:r>
        <w:rPr>
          <w:rFonts w:hint="eastAsia" w:ascii="仿宋_GB2312" w:hAnsi="仿宋_GB2312" w:eastAsia="仿宋_GB2312"/>
          <w:sz w:val="32"/>
          <w:szCs w:val="32"/>
        </w:rPr>
        <w:t>%，净稳定资金比例为</w:t>
      </w:r>
      <w:r>
        <w:rPr>
          <w:rFonts w:hint="eastAsia" w:ascii="仿宋_GB2312" w:hAnsi="仿宋_GB2312" w:eastAsia="仿宋_GB2312"/>
          <w:sz w:val="32"/>
          <w:szCs w:val="32"/>
          <w:lang w:val="en-US" w:eastAsia="zh-CN"/>
        </w:rPr>
        <w:t>144.49</w:t>
      </w:r>
      <w:r>
        <w:rPr>
          <w:rFonts w:hint="eastAsia" w:ascii="仿宋_GB2312" w:hAnsi="仿宋_GB2312" w:eastAsia="仿宋_GB2312"/>
          <w:sz w:val="32"/>
          <w:szCs w:val="32"/>
        </w:rPr>
        <w:t>%，流动性比例为</w:t>
      </w:r>
      <w:r>
        <w:rPr>
          <w:rFonts w:hint="eastAsia" w:ascii="仿宋_GB2312" w:hAnsi="仿宋_GB2312" w:eastAsia="仿宋_GB2312"/>
          <w:sz w:val="32"/>
          <w:szCs w:val="32"/>
          <w:lang w:val="en-US" w:eastAsia="zh-CN"/>
        </w:rPr>
        <w:t>89.62</w:t>
      </w:r>
      <w:r>
        <w:rPr>
          <w:rFonts w:hint="eastAsia" w:ascii="仿宋_GB2312" w:hAnsi="仿宋_GB2312" w:eastAsia="仿宋_GB2312"/>
          <w:sz w:val="32"/>
          <w:szCs w:val="32"/>
        </w:rPr>
        <w:t>%，各项指标均符合监管要求。具体情况如下表所示</w:t>
      </w:r>
      <w:r>
        <w:rPr>
          <w:rFonts w:hint="eastAsia" w:ascii="仿宋_GB2312" w:hAnsi="仿宋_GB2312" w:eastAsia="仿宋_GB2312"/>
          <w:sz w:val="32"/>
          <w:szCs w:val="32"/>
          <w:lang w:eastAsia="zh-CN"/>
        </w:rPr>
        <w:t>：</w:t>
      </w:r>
    </w:p>
    <w:p>
      <w:pPr>
        <w:pStyle w:val="2"/>
        <w:ind w:firstLine="0" w:firstLineChars="0"/>
        <w:jc w:val="center"/>
        <w:rPr>
          <w:rFonts w:hint="eastAsia" w:ascii="仿宋_GB2312" w:hAnsi="仿宋_GB2312" w:eastAsia="仿宋_GB2312"/>
          <w:sz w:val="30"/>
          <w:szCs w:val="30"/>
          <w:lang w:eastAsia="zh-CN"/>
        </w:rPr>
      </w:pPr>
      <w:r>
        <w:rPr>
          <w:rFonts w:hint="eastAsia" w:ascii="仿宋_GB2312" w:hAnsi="仿宋_GB2312" w:eastAsia="仿宋_GB2312"/>
          <w:sz w:val="30"/>
          <w:szCs w:val="30"/>
          <w:lang w:eastAsia="zh-CN"/>
        </w:rPr>
        <w:t>表1</w:t>
      </w:r>
      <w:r>
        <w:rPr>
          <w:rFonts w:hint="eastAsia" w:ascii="仿宋_GB2312" w:hAnsi="仿宋_GB2312" w:eastAsia="仿宋_GB2312"/>
          <w:sz w:val="30"/>
          <w:szCs w:val="30"/>
          <w:lang w:val="en-US" w:eastAsia="zh-CN"/>
        </w:rPr>
        <w:t xml:space="preserve"> </w:t>
      </w:r>
      <w:r>
        <w:rPr>
          <w:rFonts w:hint="eastAsia" w:ascii="仿宋_GB2312" w:hAnsi="仿宋_GB2312" w:eastAsia="仿宋_GB2312"/>
          <w:sz w:val="30"/>
          <w:szCs w:val="30"/>
          <w:lang w:eastAsia="zh-CN"/>
        </w:rPr>
        <w:t>KM1-监管并表关键审慎监管指标</w:t>
      </w:r>
    </w:p>
    <w:p>
      <w:pPr>
        <w:pStyle w:val="2"/>
        <w:ind w:firstLine="4620" w:firstLineChars="2100"/>
        <w:rPr>
          <w:rFonts w:hint="eastAsia" w:ascii="仿宋_GB2312" w:hAnsi="仿宋_GB2312" w:eastAsia="仿宋_GB2312"/>
          <w:sz w:val="22"/>
          <w:szCs w:val="22"/>
          <w:lang w:eastAsia="zh-CN"/>
        </w:rPr>
      </w:pPr>
      <w:r>
        <w:rPr>
          <w:rFonts w:hint="eastAsia" w:ascii="仿宋_GB2312" w:hAnsi="仿宋_GB2312" w:eastAsia="仿宋_GB2312"/>
          <w:sz w:val="22"/>
          <w:szCs w:val="22"/>
          <w:lang w:eastAsia="zh-CN"/>
        </w:rPr>
        <w:t>单位：人民币千元（百分比除外）</w:t>
      </w:r>
    </w:p>
    <w:tbl>
      <w:tblPr>
        <w:tblStyle w:val="8"/>
        <w:tblW w:w="92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28"/>
        <w:gridCol w:w="2048"/>
        <w:gridCol w:w="1329"/>
        <w:gridCol w:w="1329"/>
        <w:gridCol w:w="1329"/>
        <w:gridCol w:w="1329"/>
        <w:gridCol w:w="13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257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监管并表关键审慎监管指标</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T-1</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T-2</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T-3</w:t>
            </w: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25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细黑" w:hAnsi="华文细黑" w:eastAsia="华文细黑" w:cs="华文细黑"/>
                <w:i w:val="0"/>
                <w:color w:val="000000"/>
                <w:sz w:val="18"/>
                <w:szCs w:val="18"/>
                <w:u w:val="none"/>
              </w:rPr>
            </w:pPr>
          </w:p>
        </w:tc>
        <w:tc>
          <w:tcPr>
            <w:tcW w:w="1329" w:type="dxa"/>
            <w:tcBorders>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2026年6月30日</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2026年3月31日</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2025年12月31日</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2025年9月30日</w:t>
            </w: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2025年6月30日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9222" w:type="dxa"/>
            <w:gridSpan w:val="7"/>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left"/>
              <w:textAlignment w:val="center"/>
              <w:rPr>
                <w:rFonts w:hint="default" w:ascii="华文细黑" w:hAnsi="华文细黑" w:eastAsia="华文细黑" w:cs="华文细黑"/>
                <w:b/>
                <w:i w:val="0"/>
                <w:color w:val="000000"/>
                <w:sz w:val="18"/>
                <w:szCs w:val="18"/>
                <w:u w:val="none"/>
              </w:rPr>
            </w:pPr>
            <w:r>
              <w:rPr>
                <w:rFonts w:hint="eastAsia" w:ascii="华文细黑" w:hAnsi="华文细黑" w:eastAsia="华文细黑" w:cs="华文细黑"/>
                <w:b/>
                <w:bCs/>
                <w:i w:val="0"/>
                <w:iCs w:val="0"/>
                <w:color w:val="000000"/>
                <w:kern w:val="0"/>
                <w:sz w:val="18"/>
                <w:szCs w:val="18"/>
                <w:u w:val="none"/>
                <w:lang w:val="en-US" w:eastAsia="zh-CN" w:bidi="ar"/>
              </w:rPr>
              <w:t>可用资本（数额）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核心一级资本净额</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36,691,071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36,270,484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34,857,835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35,525,641 </w:t>
            </w: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34,969,358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2</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一级资本净额</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41,599,532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42,265,889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42,850,561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45,515,576 </w:t>
            </w: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39,968,675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3</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资本净额</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47,285,919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48,210,167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48,651,769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51,191,616 </w:t>
            </w: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45,556,181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9222" w:type="dxa"/>
            <w:gridSpan w:val="7"/>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left"/>
              <w:textAlignment w:val="center"/>
              <w:rPr>
                <w:rFonts w:hint="default" w:ascii="华文细黑" w:hAnsi="华文细黑" w:eastAsia="华文细黑" w:cs="华文细黑"/>
                <w:b/>
                <w:i w:val="0"/>
                <w:color w:val="000000"/>
                <w:sz w:val="18"/>
                <w:szCs w:val="18"/>
                <w:u w:val="none"/>
              </w:rPr>
            </w:pPr>
            <w:r>
              <w:rPr>
                <w:rFonts w:hint="eastAsia" w:ascii="华文细黑" w:hAnsi="华文细黑" w:eastAsia="华文细黑" w:cs="华文细黑"/>
                <w:b/>
                <w:bCs/>
                <w:i w:val="0"/>
                <w:iCs w:val="0"/>
                <w:color w:val="000000"/>
                <w:kern w:val="0"/>
                <w:sz w:val="18"/>
                <w:szCs w:val="18"/>
                <w:u w:val="none"/>
                <w:lang w:val="en-US" w:eastAsia="zh-CN" w:bidi="ar"/>
              </w:rPr>
              <w:t>风险加权资产（数额）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4</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风险加权资产</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iCs w:val="0"/>
                <w:color w:val="000000"/>
                <w:kern w:val="2"/>
                <w:sz w:val="18"/>
                <w:szCs w:val="18"/>
                <w:u w:val="none"/>
                <w:lang w:val="en-US" w:eastAsia="zh-CN" w:bidi="ar-SA"/>
              </w:rPr>
            </w:pPr>
            <w:r>
              <w:rPr>
                <w:rFonts w:hint="eastAsia" w:ascii="华文细黑" w:hAnsi="华文细黑" w:eastAsia="华文细黑" w:cs="华文细黑"/>
                <w:i w:val="0"/>
                <w:iCs w:val="0"/>
                <w:color w:val="000000"/>
                <w:kern w:val="0"/>
                <w:sz w:val="18"/>
                <w:szCs w:val="18"/>
                <w:u w:val="none"/>
                <w:lang w:val="en-US" w:eastAsia="zh-CN" w:bidi="ar"/>
              </w:rPr>
              <w:t xml:space="preserve">356,146,016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347,821,303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346,069,563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332,937,922 </w:t>
            </w: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330,657,445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9222" w:type="dxa"/>
            <w:gridSpan w:val="7"/>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left"/>
              <w:textAlignment w:val="center"/>
              <w:rPr>
                <w:rFonts w:hint="default" w:ascii="华文细黑" w:hAnsi="华文细黑" w:eastAsia="华文细黑" w:cs="华文细黑"/>
                <w:b/>
                <w:i w:val="0"/>
                <w:color w:val="000000"/>
                <w:sz w:val="18"/>
                <w:szCs w:val="18"/>
                <w:u w:val="none"/>
              </w:rPr>
            </w:pPr>
            <w:r>
              <w:rPr>
                <w:rFonts w:hint="eastAsia" w:ascii="华文细黑" w:hAnsi="华文细黑" w:eastAsia="华文细黑" w:cs="华文细黑"/>
                <w:b/>
                <w:bCs/>
                <w:i w:val="0"/>
                <w:iCs w:val="0"/>
                <w:color w:val="000000"/>
                <w:kern w:val="0"/>
                <w:sz w:val="18"/>
                <w:szCs w:val="18"/>
                <w:u w:val="none"/>
                <w:lang w:val="en-US" w:eastAsia="zh-CN" w:bidi="ar"/>
              </w:rPr>
              <w:t>资本充足率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5</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核心一级资本充足率（%）</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lang w:val="en-US"/>
              </w:rPr>
            </w:pPr>
            <w:r>
              <w:rPr>
                <w:rFonts w:hint="eastAsia" w:ascii="华文细黑" w:hAnsi="华文细黑" w:eastAsia="华文细黑" w:cs="华文细黑"/>
                <w:i w:val="0"/>
                <w:iCs w:val="0"/>
                <w:color w:val="000000"/>
                <w:kern w:val="0"/>
                <w:sz w:val="18"/>
                <w:szCs w:val="18"/>
                <w:u w:val="none"/>
                <w:lang w:val="en-US" w:eastAsia="zh-CN" w:bidi="ar"/>
              </w:rPr>
              <w:t xml:space="preserve">10.30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10.43</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10.07</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10.67</w:t>
            </w: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10.58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6</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一级资本充足率（%）</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lang w:val="en-US"/>
              </w:rPr>
            </w:pPr>
            <w:r>
              <w:rPr>
                <w:rFonts w:hint="eastAsia" w:ascii="华文细黑" w:hAnsi="华文细黑" w:eastAsia="华文细黑" w:cs="华文细黑"/>
                <w:i w:val="0"/>
                <w:iCs w:val="0"/>
                <w:color w:val="000000"/>
                <w:kern w:val="0"/>
                <w:sz w:val="18"/>
                <w:szCs w:val="18"/>
                <w:u w:val="none"/>
                <w:lang w:val="en-US" w:eastAsia="zh-CN" w:bidi="ar"/>
              </w:rPr>
              <w:t>11.68</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12.15</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12.38</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13.67</w:t>
            </w: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12.09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7</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资本充足率（%）</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lang w:val="en-US"/>
              </w:rPr>
            </w:pPr>
            <w:r>
              <w:rPr>
                <w:rFonts w:hint="eastAsia" w:ascii="华文细黑" w:hAnsi="华文细黑" w:eastAsia="华文细黑" w:cs="华文细黑"/>
                <w:i w:val="0"/>
                <w:iCs w:val="0"/>
                <w:color w:val="000000"/>
                <w:kern w:val="0"/>
                <w:sz w:val="18"/>
                <w:szCs w:val="18"/>
                <w:u w:val="none"/>
                <w:lang w:val="en-US" w:eastAsia="zh-CN" w:bidi="ar"/>
              </w:rPr>
              <w:t>13.28</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13.86</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14.06</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15.38</w:t>
            </w: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13.78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9222" w:type="dxa"/>
            <w:gridSpan w:val="7"/>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left"/>
              <w:textAlignment w:val="center"/>
              <w:rPr>
                <w:rFonts w:hint="default" w:ascii="华文细黑" w:hAnsi="华文细黑" w:eastAsia="华文细黑" w:cs="华文细黑"/>
                <w:b/>
                <w:i w:val="0"/>
                <w:color w:val="000000"/>
                <w:sz w:val="18"/>
                <w:szCs w:val="18"/>
                <w:u w:val="none"/>
              </w:rPr>
            </w:pPr>
            <w:r>
              <w:rPr>
                <w:rFonts w:hint="eastAsia" w:ascii="华文细黑" w:hAnsi="华文细黑" w:eastAsia="华文细黑" w:cs="华文细黑"/>
                <w:b/>
                <w:bCs/>
                <w:i w:val="0"/>
                <w:iCs w:val="0"/>
                <w:color w:val="000000"/>
                <w:kern w:val="0"/>
                <w:sz w:val="18"/>
                <w:szCs w:val="18"/>
                <w:u w:val="none"/>
                <w:lang w:val="en-US" w:eastAsia="zh-CN" w:bidi="ar"/>
              </w:rPr>
              <w:t>其他各级资本要求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8</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储备资本要求（%）</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2.5</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2.5</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2.5</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2.5</w:t>
            </w: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9</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逆周期资本要求（%）</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0</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0</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0</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0</w:t>
            </w: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7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10</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全球系统重要性银行或国内系统重要性银行附加资本要求（%）</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不适用</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不适用</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不适用</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不适用</w:t>
            </w: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不适用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11</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其他各级资本要求（%）（8+9+10）</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2.5</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2.5</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2.5</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2.5</w:t>
            </w: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7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12</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满足最低资本要求后的可用核心一级资本净额占风险加权资产的比例（%）</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lang w:val="en-US"/>
              </w:rPr>
            </w:pPr>
            <w:r>
              <w:rPr>
                <w:rFonts w:hint="eastAsia" w:ascii="华文细黑" w:hAnsi="华文细黑" w:eastAsia="华文细黑" w:cs="华文细黑"/>
                <w:i w:val="0"/>
                <w:iCs w:val="0"/>
                <w:color w:val="000000"/>
                <w:kern w:val="0"/>
                <w:sz w:val="18"/>
                <w:szCs w:val="18"/>
                <w:u w:val="none"/>
                <w:lang w:val="en-US" w:eastAsia="zh-CN" w:bidi="ar"/>
              </w:rPr>
              <w:t xml:space="preserve">5.30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5.43</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5.07</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5.67</w:t>
            </w: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5.58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9222" w:type="dxa"/>
            <w:gridSpan w:val="7"/>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left"/>
              <w:textAlignment w:val="center"/>
              <w:rPr>
                <w:rFonts w:hint="default" w:ascii="华文细黑" w:hAnsi="华文细黑" w:eastAsia="华文细黑" w:cs="华文细黑"/>
                <w:b/>
                <w:i w:val="0"/>
                <w:color w:val="000000"/>
                <w:sz w:val="18"/>
                <w:szCs w:val="18"/>
                <w:u w:val="none"/>
              </w:rPr>
            </w:pPr>
            <w:r>
              <w:rPr>
                <w:rFonts w:hint="eastAsia" w:ascii="华文细黑" w:hAnsi="华文细黑" w:eastAsia="华文细黑" w:cs="华文细黑"/>
                <w:b/>
                <w:bCs/>
                <w:i w:val="0"/>
                <w:iCs w:val="0"/>
                <w:color w:val="000000"/>
                <w:kern w:val="0"/>
                <w:sz w:val="18"/>
                <w:szCs w:val="18"/>
                <w:u w:val="none"/>
                <w:lang w:val="en-US" w:eastAsia="zh-CN" w:bidi="ar"/>
              </w:rPr>
              <w:t>杠杆率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13</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调整后表内外资产余额</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532,275,589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552,186,734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555,711,513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558,879,043 </w:t>
            </w: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549,836,198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14</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杠杆率（%）</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7.82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7.65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7.71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8.14</w:t>
            </w: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7.27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14a</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杠杆率a（%）</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7.82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7.65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7.71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8.14</w:t>
            </w: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7.27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9222" w:type="dxa"/>
            <w:gridSpan w:val="7"/>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left"/>
              <w:textAlignment w:val="center"/>
              <w:rPr>
                <w:rFonts w:hint="default" w:ascii="华文细黑" w:hAnsi="华文细黑" w:eastAsia="华文细黑" w:cs="华文细黑"/>
                <w:b/>
                <w:i w:val="0"/>
                <w:color w:val="000000"/>
                <w:sz w:val="18"/>
                <w:szCs w:val="18"/>
                <w:u w:val="none"/>
              </w:rPr>
            </w:pPr>
            <w:r>
              <w:rPr>
                <w:rFonts w:hint="eastAsia" w:ascii="华文细黑" w:hAnsi="华文细黑" w:eastAsia="华文细黑" w:cs="华文细黑"/>
                <w:b/>
                <w:bCs/>
                <w:i w:val="0"/>
                <w:iCs w:val="0"/>
                <w:color w:val="000000"/>
                <w:kern w:val="0"/>
                <w:sz w:val="18"/>
                <w:szCs w:val="18"/>
                <w:u w:val="none"/>
                <w:lang w:val="en-US" w:eastAsia="zh-CN" w:bidi="ar"/>
              </w:rPr>
              <w:t>流动性覆盖率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15</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合格优质流动性资产</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43,171,620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72,003,376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54,138,666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75,823,372 </w:t>
            </w: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58,052,265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16</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现金净流出量</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19,612,668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25,543,531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14,281,026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24,150,771 </w:t>
            </w: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16,638,469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17</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流动性覆盖率（%）</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220.12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281.88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379.10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313.96 </w:t>
            </w: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348.90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9222" w:type="dxa"/>
            <w:gridSpan w:val="7"/>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left"/>
              <w:textAlignment w:val="center"/>
              <w:rPr>
                <w:rFonts w:hint="default" w:ascii="华文细黑" w:hAnsi="华文细黑" w:eastAsia="华文细黑" w:cs="华文细黑"/>
                <w:b/>
                <w:i w:val="0"/>
                <w:color w:val="000000"/>
                <w:sz w:val="18"/>
                <w:szCs w:val="18"/>
                <w:u w:val="none"/>
              </w:rPr>
            </w:pPr>
            <w:r>
              <w:rPr>
                <w:rFonts w:hint="eastAsia" w:ascii="华文细黑" w:hAnsi="华文细黑" w:eastAsia="华文细黑" w:cs="华文细黑"/>
                <w:b/>
                <w:bCs/>
                <w:i w:val="0"/>
                <w:iCs w:val="0"/>
                <w:color w:val="000000"/>
                <w:kern w:val="0"/>
                <w:sz w:val="18"/>
                <w:szCs w:val="18"/>
                <w:u w:val="none"/>
                <w:lang w:val="en-US" w:eastAsia="zh-CN" w:bidi="ar"/>
              </w:rPr>
              <w:t>净稳定资金比例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18</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可用稳定资金合计</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350,785,741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346,639,928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348,057,417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352,149,744 </w:t>
            </w: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349,135,180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19</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所需稳定资金合计</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242,767,469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240,819,938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239,417,522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241,532,780 </w:t>
            </w: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244,332,993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20</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净稳定资金比例（%）</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144.49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143.94 </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145.38</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145.8</w:t>
            </w: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142.89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9222" w:type="dxa"/>
            <w:gridSpan w:val="7"/>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left"/>
              <w:textAlignment w:val="center"/>
              <w:rPr>
                <w:rFonts w:hint="default" w:ascii="华文细黑" w:hAnsi="华文细黑" w:eastAsia="华文细黑" w:cs="华文细黑"/>
                <w:b/>
                <w:i w:val="0"/>
                <w:color w:val="000000"/>
                <w:sz w:val="18"/>
                <w:szCs w:val="18"/>
                <w:u w:val="none"/>
              </w:rPr>
            </w:pPr>
            <w:r>
              <w:rPr>
                <w:rFonts w:hint="eastAsia" w:ascii="华文细黑" w:hAnsi="华文细黑" w:eastAsia="华文细黑" w:cs="华文细黑"/>
                <w:b/>
                <w:bCs/>
                <w:i w:val="0"/>
                <w:iCs w:val="0"/>
                <w:color w:val="000000"/>
                <w:kern w:val="0"/>
                <w:sz w:val="18"/>
                <w:szCs w:val="18"/>
                <w:u w:val="none"/>
                <w:lang w:val="en-US" w:eastAsia="zh-CN" w:bidi="ar"/>
              </w:rPr>
              <w:t>流动性比例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21</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流动性比例（%）</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lang w:val="en-US"/>
              </w:rPr>
            </w:pPr>
            <w:r>
              <w:rPr>
                <w:rFonts w:hint="eastAsia" w:ascii="华文细黑" w:hAnsi="华文细黑" w:eastAsia="华文细黑" w:cs="华文细黑"/>
                <w:i w:val="0"/>
                <w:iCs w:val="0"/>
                <w:color w:val="000000"/>
                <w:kern w:val="0"/>
                <w:sz w:val="18"/>
                <w:szCs w:val="18"/>
                <w:u w:val="none"/>
                <w:lang w:val="en-US" w:eastAsia="zh-CN" w:bidi="ar"/>
              </w:rPr>
              <w:t>89.62</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99.51</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108.22</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104.21</w:t>
            </w: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right"/>
              <w:textAlignment w:val="bottom"/>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95.27</w:t>
            </w:r>
          </w:p>
        </w:tc>
      </w:tr>
    </w:tbl>
    <w:p>
      <w:pPr>
        <w:pStyle w:val="2"/>
        <w:ind w:firstLine="0" w:firstLineChars="0"/>
        <w:rPr>
          <w:rFonts w:hint="eastAsia" w:ascii="仿宋_GB2312" w:hAnsi="仿宋_GB2312" w:eastAsia="仿宋_GB2312"/>
          <w:sz w:val="32"/>
          <w:szCs w:val="32"/>
          <w:lang w:eastAsia="zh-CN"/>
        </w:rPr>
      </w:pPr>
    </w:p>
    <w:p>
      <w:pPr>
        <w:pStyle w:val="2"/>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二</w:t>
      </w:r>
      <w:r>
        <w:rPr>
          <w:rFonts w:hint="eastAsia" w:ascii="楷体_GB2312" w:hAnsi="楷体_GB2312" w:eastAsia="楷体_GB2312" w:cs="楷体_GB2312"/>
          <w:sz w:val="32"/>
          <w:szCs w:val="32"/>
          <w:lang w:eastAsia="zh-CN"/>
        </w:rPr>
        <w:t>）风险加权资产概览</w:t>
      </w:r>
    </w:p>
    <w:p>
      <w:pPr>
        <w:pStyle w:val="2"/>
        <w:ind w:firstLine="640" w:firstLineChars="200"/>
        <w:rPr>
          <w:rFonts w:hint="eastAsia" w:ascii="仿宋_GB2312" w:hAnsi="仿宋_GB2312" w:eastAsia="仿宋_GB2312"/>
          <w:sz w:val="32"/>
          <w:szCs w:val="32"/>
          <w:lang w:eastAsia="zh-CN"/>
        </w:rPr>
      </w:pPr>
      <w:r>
        <w:rPr>
          <w:rFonts w:hint="eastAsia" w:ascii="仿宋_GB2312" w:hAnsi="仿宋_GB2312" w:eastAsia="仿宋_GB2312"/>
          <w:sz w:val="32"/>
          <w:szCs w:val="32"/>
          <w:lang w:eastAsia="zh-CN"/>
        </w:rPr>
        <w:t>本行依据《资本管理办法》计量资本充足率。信用风险加权资产计量采用权重法，市场风险加权资产计量采用简化标准法，操作风险加权资产计量采用基本指标法。截至2026年6月末，各风险加权资产计量结果如下表所示：</w:t>
      </w:r>
    </w:p>
    <w:p>
      <w:pPr>
        <w:pStyle w:val="2"/>
        <w:ind w:firstLine="0" w:firstLineChars="0"/>
        <w:jc w:val="center"/>
        <w:rPr>
          <w:rFonts w:hint="eastAsia" w:ascii="仿宋_GB2312" w:hAnsi="仿宋_GB2312" w:eastAsia="仿宋_GB2312"/>
          <w:sz w:val="30"/>
          <w:szCs w:val="30"/>
          <w:lang w:eastAsia="zh-CN"/>
        </w:rPr>
      </w:pPr>
      <w:r>
        <w:rPr>
          <w:rFonts w:hint="eastAsia" w:ascii="仿宋_GB2312" w:hAnsi="仿宋_GB2312" w:eastAsia="仿宋_GB2312"/>
          <w:sz w:val="30"/>
          <w:szCs w:val="30"/>
          <w:lang w:eastAsia="zh-CN"/>
        </w:rPr>
        <w:t>表2</w:t>
      </w:r>
      <w:r>
        <w:rPr>
          <w:rFonts w:hint="eastAsia" w:ascii="仿宋_GB2312" w:hAnsi="仿宋_GB2312" w:eastAsia="仿宋_GB2312"/>
          <w:sz w:val="30"/>
          <w:szCs w:val="30"/>
          <w:lang w:val="en-US" w:eastAsia="zh-CN"/>
        </w:rPr>
        <w:t xml:space="preserve"> </w:t>
      </w:r>
      <w:r>
        <w:rPr>
          <w:rFonts w:hint="eastAsia" w:ascii="仿宋_GB2312" w:hAnsi="仿宋_GB2312" w:eastAsia="仿宋_GB2312"/>
          <w:sz w:val="30"/>
          <w:szCs w:val="30"/>
          <w:lang w:eastAsia="zh-CN"/>
        </w:rPr>
        <w:t>OV1-风险加权资产概览</w:t>
      </w:r>
    </w:p>
    <w:p>
      <w:pPr>
        <w:pStyle w:val="2"/>
        <w:ind w:firstLine="4620" w:firstLineChars="2100"/>
        <w:rPr>
          <w:rFonts w:hint="eastAsia" w:ascii="仿宋_GB2312" w:hAnsi="仿宋_GB2312" w:eastAsia="仿宋_GB2312"/>
          <w:sz w:val="22"/>
          <w:szCs w:val="22"/>
          <w:lang w:eastAsia="zh-CN"/>
        </w:rPr>
      </w:pPr>
      <w:r>
        <w:rPr>
          <w:rFonts w:hint="eastAsia" w:ascii="仿宋_GB2312" w:hAnsi="仿宋_GB2312" w:eastAsia="仿宋_GB2312"/>
          <w:sz w:val="22"/>
          <w:szCs w:val="22"/>
          <w:lang w:eastAsia="zh-CN"/>
        </w:rPr>
        <w:t>单位：人民币千元（百分比除外）</w:t>
      </w:r>
    </w:p>
    <w:tbl>
      <w:tblPr>
        <w:tblStyle w:val="8"/>
        <w:tblW w:w="78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497"/>
        <w:gridCol w:w="1926"/>
        <w:gridCol w:w="1612"/>
        <w:gridCol w:w="2025"/>
        <w:gridCol w:w="17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242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风险加权资产概况</w:t>
            </w:r>
          </w:p>
        </w:tc>
        <w:tc>
          <w:tcPr>
            <w:tcW w:w="36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风险加权资产</w:t>
            </w: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最低资本要求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242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细黑" w:hAnsi="华文细黑" w:eastAsia="华文细黑" w:cs="华文细黑"/>
                <w:i w:val="0"/>
                <w:color w:val="000000"/>
                <w:sz w:val="18"/>
                <w:szCs w:val="18"/>
                <w:u w:val="none"/>
              </w:rPr>
            </w:pP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T-1</w:t>
            </w: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242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细黑" w:hAnsi="华文细黑" w:eastAsia="华文细黑" w:cs="华文细黑"/>
                <w:i w:val="0"/>
                <w:color w:val="000000"/>
                <w:sz w:val="18"/>
                <w:szCs w:val="18"/>
                <w:u w:val="none"/>
              </w:rPr>
            </w:pP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2026年6月30日</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2026年3月31日</w:t>
            </w: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2026年6月30日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w:t>
            </w:r>
          </w:p>
        </w:tc>
        <w:tc>
          <w:tcPr>
            <w:tcW w:w="1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信用风险</w:t>
            </w: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332,228,232 </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323,336,359 </w:t>
            </w: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26,578,259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2</w:t>
            </w:r>
          </w:p>
        </w:tc>
        <w:tc>
          <w:tcPr>
            <w:tcW w:w="1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市场风险</w:t>
            </w: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5,372,037 </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5,939,197 </w:t>
            </w: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429,763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3</w:t>
            </w:r>
          </w:p>
        </w:tc>
        <w:tc>
          <w:tcPr>
            <w:tcW w:w="1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操作风险</w:t>
            </w: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18,545,747 </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18,545,747 </w:t>
            </w: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1,483,660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4</w:t>
            </w:r>
          </w:p>
        </w:tc>
        <w:tc>
          <w:tcPr>
            <w:tcW w:w="1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交易账簿和银行账簿间转换的资本要求</w:t>
            </w: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华文细黑" w:hAnsi="华文细黑" w:eastAsia="华文细黑" w:cs="华文细黑"/>
                <w:i w:val="0"/>
                <w:color w:val="000000"/>
                <w:sz w:val="18"/>
                <w:szCs w:val="18"/>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w:t>
            </w: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5</w:t>
            </w:r>
          </w:p>
        </w:tc>
        <w:tc>
          <w:tcPr>
            <w:tcW w:w="1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细黑" w:hAnsi="华文细黑" w:eastAsia="华文细黑" w:cs="华文细黑"/>
                <w:b/>
                <w:i w:val="0"/>
                <w:color w:val="000000"/>
                <w:sz w:val="18"/>
                <w:szCs w:val="18"/>
                <w:u w:val="none"/>
              </w:rPr>
            </w:pPr>
            <w:r>
              <w:rPr>
                <w:rFonts w:hint="eastAsia" w:ascii="华文细黑" w:hAnsi="华文细黑" w:eastAsia="华文细黑" w:cs="华文细黑"/>
                <w:b/>
                <w:bCs/>
                <w:i w:val="0"/>
                <w:iCs w:val="0"/>
                <w:color w:val="000000"/>
                <w:kern w:val="0"/>
                <w:sz w:val="18"/>
                <w:szCs w:val="18"/>
                <w:u w:val="none"/>
                <w:lang w:val="en-US" w:eastAsia="zh-CN" w:bidi="ar"/>
              </w:rPr>
              <w:t>合计</w:t>
            </w: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356,146,016 </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347,821,303 </w:t>
            </w:r>
          </w:p>
        </w:tc>
        <w:tc>
          <w:tcPr>
            <w:tcW w:w="1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28,491,682 </w:t>
            </w:r>
          </w:p>
        </w:tc>
      </w:tr>
    </w:tbl>
    <w:p>
      <w:pPr>
        <w:pStyle w:val="2"/>
        <w:spacing w:before="0" w:beforeLines="0" w:after="0" w:afterLines="0"/>
        <w:ind w:firstLine="640"/>
        <w:rPr>
          <w:rFonts w:hint="eastAsia" w:ascii="黑体" w:hAnsi="黑体" w:eastAsia="黑体" w:cs="黑体"/>
          <w:sz w:val="32"/>
          <w:szCs w:val="32"/>
          <w:lang w:eastAsia="zh-CN"/>
        </w:rPr>
      </w:pPr>
      <w:r>
        <w:rPr>
          <w:rFonts w:hint="eastAsia" w:ascii="黑体" w:hAnsi="黑体" w:eastAsia="黑体" w:cs="黑体"/>
          <w:sz w:val="32"/>
          <w:szCs w:val="32"/>
          <w:lang w:eastAsia="zh-CN"/>
        </w:rPr>
        <w:t>三、资本构成</w:t>
      </w:r>
    </w:p>
    <w:p>
      <w:pPr>
        <w:pStyle w:val="2"/>
        <w:spacing w:beforeLines="0" w:afterLines="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（一）资本工具的主要特征</w:t>
      </w:r>
    </w:p>
    <w:p>
      <w:pPr>
        <w:pStyle w:val="2"/>
        <w:spacing w:beforeLines="0" w:afterLines="0"/>
        <w:ind w:firstLine="640" w:firstLineChars="200"/>
        <w:rPr>
          <w:rFonts w:hint="eastAsia" w:ascii="仿宋_GB2312" w:hAnsi="仿宋_GB2312" w:eastAsia="仿宋_GB2312"/>
          <w:sz w:val="32"/>
          <w:szCs w:val="32"/>
          <w:lang w:eastAsia="zh-CN"/>
        </w:rPr>
      </w:pPr>
      <w:r>
        <w:rPr>
          <w:rFonts w:hint="eastAsia" w:ascii="仿宋_GB2312" w:hAnsi="仿宋_GB2312" w:eastAsia="仿宋_GB2312"/>
          <w:sz w:val="32"/>
          <w:szCs w:val="32"/>
          <w:lang w:eastAsia="zh-CN"/>
        </w:rPr>
        <w:t>截至2026年</w:t>
      </w:r>
      <w:r>
        <w:rPr>
          <w:rFonts w:hint="eastAsia" w:ascii="仿宋_GB2312" w:hAnsi="仿宋_GB2312" w:eastAsia="仿宋_GB2312"/>
          <w:sz w:val="32"/>
          <w:szCs w:val="32"/>
          <w:lang w:val="en-US" w:eastAsia="zh-CN"/>
        </w:rPr>
        <w:t>6月</w:t>
      </w:r>
      <w:r>
        <w:rPr>
          <w:rFonts w:hint="eastAsia" w:ascii="仿宋_GB2312" w:hAnsi="仿宋_GB2312" w:eastAsia="仿宋_GB2312"/>
          <w:sz w:val="32"/>
          <w:szCs w:val="32"/>
          <w:lang w:eastAsia="zh-CN"/>
        </w:rPr>
        <w:t>末，本行资本工具包括普通股、无固定期限资本债券及二级资本债。根据《资本管理办法》相关要求，本行单独在官方网站披露《表格CCA-资本工具的主要特征》（详见附件）。官方网站披露位置为“关于我行-投资者关系-资本监管”，相应网址链接如下：</w:t>
      </w:r>
    </w:p>
    <w:p>
      <w:pPr>
        <w:pStyle w:val="2"/>
        <w:spacing w:beforeLines="0" w:afterLines="0"/>
        <w:ind w:firstLine="640" w:firstLineChars="200"/>
        <w:rPr>
          <w:rFonts w:hint="eastAsia" w:ascii="仿宋_GB2312" w:hAnsi="仿宋_GB2312" w:eastAsia="仿宋_GB2312"/>
          <w:sz w:val="32"/>
          <w:szCs w:val="32"/>
          <w:lang w:eastAsia="zh-CN"/>
        </w:rPr>
      </w:pPr>
      <w:r>
        <w:rPr>
          <w:rFonts w:hint="eastAsia" w:ascii="仿宋_GB2312" w:hAnsi="仿宋_GB2312" w:eastAsia="仿宋_GB2312"/>
          <w:sz w:val="32"/>
          <w:szCs w:val="32"/>
          <w:lang w:val="en-US" w:eastAsia="zh-CN"/>
        </w:rPr>
        <w:t>www.qrcb.com.cn/qrcb/tzzgx/jgzb/index.html</w:t>
      </w:r>
    </w:p>
    <w:p>
      <w:pPr>
        <w:pStyle w:val="2"/>
        <w:spacing w:beforeLines="0" w:afterLines="0"/>
        <w:ind w:firstLine="640" w:firstLineChars="200"/>
        <w:rPr>
          <w:rFonts w:hint="eastAsia" w:ascii="仿宋_GB2312" w:hAnsi="仿宋_GB2312" w:eastAsia="仿宋_GB2312"/>
          <w:sz w:val="32"/>
          <w:szCs w:val="32"/>
          <w:lang w:eastAsia="zh-CN"/>
        </w:rPr>
      </w:pPr>
      <w:r>
        <w:rPr>
          <w:rFonts w:hint="eastAsia" w:ascii="仿宋_GB2312" w:hAnsi="仿宋_GB2312" w:eastAsia="仿宋_GB2312"/>
          <w:sz w:val="32"/>
          <w:szCs w:val="32"/>
          <w:lang w:eastAsia="zh-CN"/>
        </w:rPr>
        <w:t>在资本工具发生赎回、减记、转股或其他重大变化时，本行将及时更新该表格。</w:t>
      </w:r>
    </w:p>
    <w:p>
      <w:pPr>
        <w:pStyle w:val="2"/>
        <w:spacing w:beforeLines="0" w:afterLines="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（二）资本构成</w:t>
      </w:r>
    </w:p>
    <w:p>
      <w:pPr>
        <w:pStyle w:val="2"/>
        <w:spacing w:beforeLines="0" w:afterLines="0"/>
        <w:ind w:firstLine="640" w:firstLineChars="200"/>
        <w:rPr>
          <w:rFonts w:hint="eastAsia" w:ascii="仿宋_GB2312" w:hAnsi="仿宋_GB2312" w:eastAsia="仿宋_GB2312"/>
          <w:sz w:val="32"/>
          <w:szCs w:val="32"/>
          <w:lang w:eastAsia="zh-CN"/>
        </w:rPr>
      </w:pPr>
      <w:r>
        <w:rPr>
          <w:rFonts w:hint="eastAsia" w:ascii="仿宋_GB2312" w:hAnsi="仿宋_GB2312" w:eastAsia="仿宋_GB2312"/>
          <w:sz w:val="32"/>
          <w:szCs w:val="32"/>
          <w:lang w:eastAsia="zh-CN"/>
        </w:rPr>
        <w:t>截至</w:t>
      </w:r>
      <w:r>
        <w:rPr>
          <w:rFonts w:hint="eastAsia" w:ascii="仿宋_GB2312" w:hAnsi="仿宋_GB2312" w:eastAsia="仿宋_GB2312"/>
          <w:sz w:val="32"/>
          <w:szCs w:val="32"/>
          <w:lang w:val="en-US" w:eastAsia="zh-CN"/>
        </w:rPr>
        <w:t>2026年6月末</w:t>
      </w:r>
      <w:r>
        <w:rPr>
          <w:rFonts w:hint="eastAsia" w:ascii="仿宋_GB2312" w:hAnsi="仿宋_GB2312" w:eastAsia="仿宋_GB2312"/>
          <w:sz w:val="32"/>
          <w:szCs w:val="32"/>
          <w:lang w:eastAsia="zh-CN"/>
        </w:rPr>
        <w:t>，本行根据资本管理办法及相关规定计量的并表资本构成情况如下表所示：</w:t>
      </w:r>
    </w:p>
    <w:p>
      <w:pPr>
        <w:pStyle w:val="2"/>
        <w:ind w:firstLine="0" w:firstLineChars="0"/>
        <w:jc w:val="center"/>
        <w:rPr>
          <w:rFonts w:hint="eastAsia" w:ascii="仿宋_GB2312" w:hAnsi="仿宋_GB2312" w:eastAsia="仿宋_GB2312"/>
          <w:sz w:val="30"/>
          <w:szCs w:val="30"/>
          <w:lang w:eastAsia="zh-CN"/>
        </w:rPr>
      </w:pPr>
      <w:r>
        <w:rPr>
          <w:rFonts w:hint="eastAsia" w:ascii="仿宋_GB2312" w:hAnsi="仿宋_GB2312" w:eastAsia="仿宋_GB2312"/>
          <w:sz w:val="30"/>
          <w:szCs w:val="30"/>
          <w:lang w:eastAsia="zh-CN"/>
        </w:rPr>
        <w:t>表3</w:t>
      </w:r>
      <w:r>
        <w:rPr>
          <w:rFonts w:hint="eastAsia" w:ascii="仿宋_GB2312" w:hAnsi="仿宋_GB2312" w:eastAsia="仿宋_GB2312"/>
          <w:sz w:val="30"/>
          <w:szCs w:val="30"/>
          <w:lang w:val="en-US" w:eastAsia="zh-CN"/>
        </w:rPr>
        <w:t xml:space="preserve"> </w:t>
      </w:r>
      <w:r>
        <w:rPr>
          <w:rFonts w:hint="eastAsia" w:ascii="仿宋_GB2312" w:hAnsi="仿宋_GB2312" w:eastAsia="仿宋_GB2312"/>
          <w:sz w:val="30"/>
          <w:szCs w:val="30"/>
          <w:lang w:eastAsia="zh-CN"/>
        </w:rPr>
        <w:t>CC1-资本构成</w:t>
      </w:r>
    </w:p>
    <w:tbl>
      <w:tblPr>
        <w:tblStyle w:val="8"/>
        <w:tblpPr w:leftFromText="180" w:rightFromText="180" w:vertAnchor="text" w:horzAnchor="page" w:tblpX="1918" w:tblpY="555"/>
        <w:tblOverlap w:val="never"/>
        <w:tblW w:w="82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73"/>
        <w:gridCol w:w="4713"/>
        <w:gridCol w:w="28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trPr>
        <w:tc>
          <w:tcPr>
            <w:tcW w:w="53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资本构成</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8220" w:type="dxa"/>
            <w:gridSpan w:val="3"/>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核心一级资本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实收资本和资本公积可计入部分</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9,268,538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留存收益</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28,174,908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2a</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盈余公积</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6,000,618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2b</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一般风险准备</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7,217,944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2c</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未分配利润</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14,956,346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累计其他综合收益</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1,348,121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少数股东资本可计入部分</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扣除前的核心一级资本</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38,791,567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8220" w:type="dxa"/>
            <w:gridSpan w:val="3"/>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核心一级资本：扣除项</w:t>
            </w:r>
            <w:r>
              <w:rPr>
                <w:rFonts w:hint="eastAsia" w:ascii="宋体" w:hAnsi="宋体" w:eastAsia="宋体" w:cs="宋体"/>
                <w:i w:val="0"/>
                <w:iCs w:val="0"/>
                <w:color w:val="000000"/>
                <w:kern w:val="0"/>
                <w:sz w:val="18"/>
                <w:szCs w:val="18"/>
                <w:u w:val="none"/>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审慎估值调整</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商誉（扣除递延税负债）</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其他无形资产（土地使用权除外）（扣除递延税负债）</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9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依赖未来盈利的由经营亏损引起的净递延税资产</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对未按公允价值计量的项目进行套期形成的现金流储备</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损失准备缺口</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资产证券化销售利得</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自身信用风险变化导致其负债公允价值变化带来的未实现损益</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确定受益类的养老金资产净额（扣除递延税项负债）</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直接或间接持有本银行的股票</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银行间或银行与其他金融机构间通过协议相互持有的核心一级资本</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对未并表金融机构小额少数资本投资中的核心一级资本中应扣除金额</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对未并表金融机构大额少数资本投资中的核心一级资本中应扣除金额</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其他依赖于银行未来盈利的净递延税资产中应扣除金额</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2,099,931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7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对未并表金融机构大额少数资本投资中的核心一级资本和其他依赖于银行未来盈利的净递延税资产的未扣除部分超过核心一级资本15%的应扣除金额</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其中：应在对金融机构大额少数资本投资中扣除的金额</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其中：应在其他依赖于银行未来盈利的净递延税资产中扣除的金额</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其他应在核心一级资本中扣除的项目合计</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应从其他一级资本和二级资本中扣除的未扣缺口</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核心一级资本扣除项总和</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2,100,496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9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核心一级资本净额</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36,691,071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8220" w:type="dxa"/>
            <w:gridSpan w:val="3"/>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其他一级资本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其他一级资本工具及其溢价</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4,996,868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其中：权益部分</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其中：负债部分</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4,996,868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少数股东资本可计入部分</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扣除前的其他一级资本</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4,996,868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8220" w:type="dxa"/>
            <w:gridSpan w:val="3"/>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其他一级资本:扣除项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直接或间接持有的本银行其他一级资本</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银行间或银行与其他金融机构间通过协议相互持有的其他一级资本</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对未并表金融机构小额少数资本投资中的其他一级资本中应扣除金额</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88407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对未并表金融机构大额少数资本投资中的其他一级资本中应扣除金额</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其他应在其他一级资本中扣除的项目合计</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应从二级资本中扣除的未扣缺口</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其他一级资本扣除项总和</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88407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其他一级资本净额</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4,908,461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一级资本净额</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41,599,532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8220" w:type="dxa"/>
            <w:gridSpan w:val="3"/>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二级资本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二级资本工具及其溢价</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少数股东资本可计入部分</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超额损失准备可计入部分</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4,101,583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扣除前的二级资本</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6,101,583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8220" w:type="dxa"/>
            <w:gridSpan w:val="3"/>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二级资本：扣除项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直接或间接持有的本银行的二级资本</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银行间或银行与其他金融机构间通过协议相互持有的其他一级资本</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对未并表金融机构小额少数资本投资中的二级资本中应扣除金额</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384139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对未并表金融机构大额少数资本投资中的二级资本</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其他应在二级资本中扣除的项目合计</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9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二级资本扣除项总和</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415,196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二级资本净额</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5,686,387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总资本净额</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47,285,919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风险加权资产</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kern w:val="0"/>
                <w:sz w:val="18"/>
                <w:szCs w:val="18"/>
                <w:u w:val="none"/>
                <w:lang w:bidi="ar"/>
              </w:rPr>
            </w:pPr>
            <w:r>
              <w:rPr>
                <w:rFonts w:hint="eastAsia" w:ascii="宋体" w:hAnsi="宋体" w:eastAsia="宋体" w:cs="宋体"/>
                <w:i w:val="0"/>
                <w:iCs w:val="0"/>
                <w:color w:val="000000"/>
                <w:kern w:val="0"/>
                <w:sz w:val="18"/>
                <w:szCs w:val="18"/>
                <w:u w:val="none"/>
                <w:lang w:val="en-US" w:eastAsia="zh-CN" w:bidi="ar"/>
              </w:rPr>
              <w:t>356,146,016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8220" w:type="dxa"/>
            <w:gridSpan w:val="3"/>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资本充足率和其他各级资本要求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核心一级资本充足率（%）</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10.30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一级资本充足率（%）</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11.68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资本充足率（%）</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13.28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其他各级资本要求（%）</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其中：储备资本要求</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其中：逆周期资本要求</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其中：全球系统重要性银行或国内系统重要性银行附加资本要求</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满足最低资本要求后的可用核心一级资本净额占风险加权资产的比例（%）</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5.30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trPr>
        <w:tc>
          <w:tcPr>
            <w:tcW w:w="8220" w:type="dxa"/>
            <w:gridSpan w:val="3"/>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我国最低监管资本要求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核心一级资本充足率（%）</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一级资本充足率（%）</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资本充足率（%）</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8220" w:type="dxa"/>
            <w:gridSpan w:val="3"/>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门槛扣除项中未扣除部分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对未并表金融机构的小额少数资本投资中未扣除部分</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3,879,157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对未并表金融机构的大额少数资本投资中未扣除部分</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其他依赖于银行未来盈利的净递延税资产（扣除递延税负债）</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3,879,100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8220" w:type="dxa"/>
            <w:gridSpan w:val="3"/>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可计入二级资本的超额损失准备的限额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权重法下，实际计提的超额损失准备金额</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6,277,637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0"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权重法下，可计入二级资本超额损失准备的数额</w:t>
            </w:r>
          </w:p>
        </w:tc>
        <w:tc>
          <w:tcPr>
            <w:tcW w:w="2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4,101,583</w:t>
            </w:r>
          </w:p>
        </w:tc>
      </w:tr>
    </w:tbl>
    <w:p>
      <w:pPr>
        <w:pStyle w:val="2"/>
        <w:ind w:firstLine="4620" w:firstLineChars="2100"/>
        <w:rPr>
          <w:rFonts w:hint="eastAsia" w:ascii="仿宋_GB2312" w:hAnsi="仿宋_GB2312" w:eastAsia="仿宋_GB2312"/>
          <w:sz w:val="22"/>
          <w:szCs w:val="22"/>
          <w:lang w:eastAsia="zh-CN"/>
        </w:rPr>
      </w:pPr>
      <w:r>
        <w:rPr>
          <w:rFonts w:hint="eastAsia" w:ascii="仿宋_GB2312" w:hAnsi="仿宋_GB2312" w:eastAsia="仿宋_GB2312"/>
          <w:sz w:val="22"/>
          <w:szCs w:val="22"/>
          <w:lang w:eastAsia="zh-CN"/>
        </w:rPr>
        <w:t>单位：人民币千元（百分比除外）</w:t>
      </w:r>
    </w:p>
    <w:p>
      <w:pPr>
        <w:pStyle w:val="2"/>
        <w:rPr>
          <w:rFonts w:hint="eastAsia" w:ascii="仿宋_GB2312" w:hAnsi="仿宋_GB2312" w:eastAsia="仿宋_GB2312"/>
          <w:sz w:val="32"/>
          <w:szCs w:val="32"/>
          <w:lang w:eastAsia="zh-CN"/>
        </w:rPr>
      </w:pPr>
    </w:p>
    <w:p>
      <w:pPr>
        <w:pStyle w:val="2"/>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（三）集团财务并表和监管并表下的资产负债表的差异</w:t>
      </w:r>
    </w:p>
    <w:p>
      <w:pPr>
        <w:pStyle w:val="2"/>
        <w:ind w:firstLine="640" w:firstLineChars="200"/>
        <w:rPr>
          <w:rFonts w:hint="eastAsia" w:ascii="仿宋_GB2312" w:hAnsi="仿宋_GB2312" w:eastAsia="仿宋_GB2312"/>
          <w:sz w:val="32"/>
          <w:szCs w:val="32"/>
          <w:lang w:eastAsia="zh-CN"/>
        </w:rPr>
      </w:pPr>
      <w:r>
        <w:rPr>
          <w:rFonts w:hint="eastAsia" w:ascii="仿宋_GB2312" w:hAnsi="仿宋_GB2312" w:eastAsia="仿宋_GB2312"/>
          <w:sz w:val="32"/>
          <w:szCs w:val="32"/>
          <w:lang w:eastAsia="zh-CN"/>
        </w:rPr>
        <w:t>截至</w:t>
      </w:r>
      <w:r>
        <w:rPr>
          <w:rFonts w:hint="eastAsia" w:ascii="仿宋_GB2312" w:hAnsi="仿宋_GB2312" w:eastAsia="仿宋_GB2312"/>
          <w:sz w:val="32"/>
          <w:szCs w:val="32"/>
          <w:lang w:val="en-US" w:eastAsia="zh-CN"/>
        </w:rPr>
        <w:t>2026年6月末</w:t>
      </w:r>
      <w:r>
        <w:rPr>
          <w:rFonts w:hint="eastAsia" w:ascii="仿宋_GB2312" w:hAnsi="仿宋_GB2312" w:eastAsia="仿宋_GB2312"/>
          <w:sz w:val="32"/>
          <w:szCs w:val="32"/>
          <w:lang w:eastAsia="zh-CN"/>
        </w:rPr>
        <w:t>，本行财务并表和监管并表不存在差异。各项定量信息如下所示：</w:t>
      </w:r>
    </w:p>
    <w:p>
      <w:pPr>
        <w:pStyle w:val="2"/>
        <w:ind w:firstLine="0" w:firstLineChars="0"/>
        <w:jc w:val="center"/>
        <w:rPr>
          <w:rFonts w:hint="eastAsia" w:ascii="仿宋_GB2312" w:hAnsi="仿宋_GB2312" w:eastAsia="仿宋_GB2312"/>
          <w:sz w:val="30"/>
          <w:szCs w:val="30"/>
          <w:lang w:eastAsia="zh-CN"/>
        </w:rPr>
      </w:pPr>
      <w:r>
        <w:rPr>
          <w:rFonts w:hint="eastAsia" w:ascii="仿宋_GB2312" w:hAnsi="仿宋_GB2312" w:eastAsia="仿宋_GB2312"/>
          <w:sz w:val="30"/>
          <w:szCs w:val="30"/>
          <w:lang w:eastAsia="zh-CN"/>
        </w:rPr>
        <w:t>表4</w:t>
      </w:r>
      <w:r>
        <w:rPr>
          <w:rFonts w:hint="eastAsia" w:ascii="仿宋_GB2312" w:hAnsi="仿宋_GB2312" w:eastAsia="仿宋_GB2312"/>
          <w:sz w:val="30"/>
          <w:szCs w:val="30"/>
          <w:lang w:val="en-US" w:eastAsia="zh-CN"/>
        </w:rPr>
        <w:t xml:space="preserve"> </w:t>
      </w:r>
      <w:r>
        <w:rPr>
          <w:rFonts w:hint="eastAsia" w:ascii="仿宋_GB2312" w:hAnsi="仿宋_GB2312" w:eastAsia="仿宋_GB2312"/>
          <w:sz w:val="30"/>
          <w:szCs w:val="30"/>
          <w:lang w:eastAsia="zh-CN"/>
        </w:rPr>
        <w:t>CC2-集团财务并表和监管并表下资产负债表的差异</w:t>
      </w:r>
    </w:p>
    <w:p>
      <w:pPr>
        <w:pStyle w:val="2"/>
        <w:ind w:firstLine="4620" w:firstLineChars="2100"/>
        <w:rPr>
          <w:rFonts w:hint="eastAsia" w:ascii="仿宋_GB2312" w:hAnsi="仿宋_GB2312" w:eastAsia="仿宋_GB2312"/>
          <w:sz w:val="22"/>
          <w:szCs w:val="22"/>
          <w:lang w:eastAsia="zh-CN"/>
        </w:rPr>
      </w:pPr>
      <w:r>
        <w:rPr>
          <w:rFonts w:hint="eastAsia" w:ascii="仿宋_GB2312" w:hAnsi="仿宋_GB2312" w:eastAsia="仿宋_GB2312"/>
          <w:sz w:val="22"/>
          <w:szCs w:val="22"/>
          <w:lang w:eastAsia="zh-CN"/>
        </w:rPr>
        <w:t>单位：人民币千元</w:t>
      </w:r>
    </w:p>
    <w:tbl>
      <w:tblPr>
        <w:tblStyle w:val="8"/>
        <w:tblW w:w="720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435"/>
        <w:gridCol w:w="3045"/>
        <w:gridCol w:w="1830"/>
        <w:gridCol w:w="189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jc w:val="center"/>
        </w:trPr>
        <w:tc>
          <w:tcPr>
            <w:tcW w:w="34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集团财务并表和监管并表下的资产负债表差异</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财务并表范围下的资产负债表</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监管并表范围下的资产负债表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7207" w:type="dxa"/>
            <w:gridSpan w:val="4"/>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资产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现金及存放中央银行款项</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26,792,421</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26,792,421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存放同业款项</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9,287,775</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9,287,775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贵金属</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拆出资金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17,661,086</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17,661,086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衍生金融资产</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161,389</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161,389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买入返售金融资产</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1,841,689</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1,841,689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发放贷款和垫款</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274,919,281</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274,919,281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金融投资</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165,540,771</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165,540,771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180" w:firstLineChars="10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其中：交易性金融资产</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53,815,042</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53,815,042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180" w:firstLineChars="10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其中：债权投资</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60,569,792</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60,569,792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180" w:firstLineChars="10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其中：其他债权投资</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51,150,737</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51,150,737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180" w:firstLineChars="10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其中：其他权益工具投资</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5,200</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长期股权投资</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投资性房地产</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固定资产</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2,925,563</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2,925,563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在建工程</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90,928</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90,928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使用权资产</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331,073</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331,073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无形资产</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67,714</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67,714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递延所得税资产</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6,177,29</w:t>
            </w:r>
            <w:bookmarkStart w:id="0" w:name="_GoBack"/>
            <w:bookmarkEnd w:id="0"/>
            <w:r>
              <w:rPr>
                <w:rFonts w:hint="eastAsia" w:ascii="宋体" w:hAnsi="宋体" w:eastAsia="宋体" w:cs="宋体"/>
                <w:i w:val="0"/>
                <w:iCs w:val="0"/>
                <w:color w:val="000000"/>
                <w:kern w:val="0"/>
                <w:sz w:val="18"/>
                <w:szCs w:val="18"/>
                <w:u w:val="none"/>
                <w:lang w:val="en-US" w:eastAsia="zh-CN" w:bidi="ar"/>
              </w:rPr>
              <w:t>8</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6,177,299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其他资产</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245,571</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245,570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21</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资产合计</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506,042,564</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506,042,564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7207" w:type="dxa"/>
            <w:gridSpan w:val="4"/>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负债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向中央银行借款</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13,078,645</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13,078,645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同业及其他金融机构存放款项</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2,330,598</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2,330,598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拆入资金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8,291,194</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8,291,194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交易性金融负债</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5020195</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5020195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衍生金融负债</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513,234</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卖出回购金融资产款</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17,988,797</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17,988,797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吸收存款</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345,756,025</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345,756,025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应付债券</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64,548,488</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64,548,488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应付职工薪酬</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2,038,620</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2,038,620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应交税费</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844,952</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844,952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租赁负债</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180,875</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180,875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预计负债</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128,253</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128,253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其他负债</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1,534,253</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1,534,253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35</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负债合计</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462,254,129</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462,254,129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7207" w:type="dxa"/>
            <w:gridSpan w:val="4"/>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所有者权益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实收资本（或股本）</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5,555,627</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5,555,627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其他权益工具</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5,475,456</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5,475,456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其中：永续债</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4,996,868</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4,996,868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资本公积</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3,712,911</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3,712,911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其他综合收益</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869,533</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869,533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盈余公积</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6,000,618</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6,000,618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一般风险准备</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7,217,944</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7,217,944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未分配利润</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14,956,346</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14,956,346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少数股东权益</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45</w:t>
            </w:r>
          </w:p>
        </w:tc>
        <w:tc>
          <w:tcPr>
            <w:tcW w:w="3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所有者权益合计</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43,788,435</w:t>
            </w:r>
          </w:p>
        </w:tc>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43,788,435</w:t>
            </w:r>
          </w:p>
        </w:tc>
      </w:tr>
    </w:tbl>
    <w:p>
      <w:pPr>
        <w:pStyle w:val="2"/>
        <w:spacing w:before="0" w:beforeLines="0" w:after="0" w:afterLines="0"/>
        <w:ind w:firstLine="640"/>
        <w:rPr>
          <w:rFonts w:hint="eastAsia" w:ascii="黑体" w:hAnsi="黑体" w:eastAsia="黑体" w:cs="黑体"/>
          <w:sz w:val="32"/>
          <w:szCs w:val="32"/>
          <w:lang w:eastAsia="zh-CN"/>
        </w:rPr>
      </w:pPr>
      <w:r>
        <w:rPr>
          <w:rFonts w:hint="eastAsia" w:ascii="黑体" w:hAnsi="黑体" w:eastAsia="黑体" w:cs="黑体"/>
          <w:sz w:val="32"/>
          <w:szCs w:val="32"/>
          <w:lang w:eastAsia="zh-CN"/>
        </w:rPr>
        <w:t>四、杠杆率</w:t>
      </w:r>
    </w:p>
    <w:p>
      <w:pPr>
        <w:pStyle w:val="2"/>
        <w:spacing w:beforeLines="0" w:afterLines="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（一）杠杆率监管项目与相关会计项目的差异</w:t>
      </w:r>
    </w:p>
    <w:p>
      <w:pPr>
        <w:pStyle w:val="2"/>
        <w:spacing w:beforeLines="0" w:afterLines="0"/>
        <w:ind w:firstLine="640" w:firstLineChars="200"/>
        <w:rPr>
          <w:rFonts w:hint="eastAsia" w:ascii="仿宋_GB2312" w:hAnsi="仿宋_GB2312" w:eastAsia="仿宋_GB2312"/>
          <w:sz w:val="32"/>
          <w:szCs w:val="32"/>
          <w:lang w:eastAsia="zh-CN"/>
        </w:rPr>
      </w:pPr>
      <w:r>
        <w:rPr>
          <w:rFonts w:hint="eastAsia" w:ascii="仿宋_GB2312" w:hAnsi="仿宋_GB2312" w:eastAsia="仿宋_GB2312"/>
          <w:sz w:val="32"/>
          <w:szCs w:val="32"/>
          <w:lang w:eastAsia="zh-CN"/>
        </w:rPr>
        <w:t>截至2026年6月末，本行杠杆率监管项目与相关会计项目差异的定量信息如下表所示：</w:t>
      </w:r>
    </w:p>
    <w:p>
      <w:pPr>
        <w:pStyle w:val="2"/>
        <w:ind w:firstLine="0" w:firstLineChars="0"/>
        <w:jc w:val="center"/>
        <w:rPr>
          <w:rFonts w:hint="eastAsia" w:ascii="仿宋_GB2312" w:hAnsi="仿宋_GB2312" w:eastAsia="仿宋_GB2312"/>
          <w:sz w:val="30"/>
          <w:szCs w:val="30"/>
          <w:lang w:eastAsia="zh-CN"/>
        </w:rPr>
      </w:pPr>
      <w:r>
        <w:rPr>
          <w:rFonts w:hint="eastAsia" w:ascii="仿宋_GB2312" w:hAnsi="仿宋_GB2312" w:eastAsia="仿宋_GB2312"/>
          <w:sz w:val="30"/>
          <w:szCs w:val="30"/>
          <w:lang w:eastAsia="zh-CN"/>
        </w:rPr>
        <w:t>表5</w:t>
      </w:r>
      <w:r>
        <w:rPr>
          <w:rFonts w:hint="eastAsia" w:ascii="仿宋_GB2312" w:hAnsi="仿宋_GB2312" w:eastAsia="仿宋_GB2312"/>
          <w:sz w:val="30"/>
          <w:szCs w:val="30"/>
          <w:lang w:val="en-US" w:eastAsia="zh-CN"/>
        </w:rPr>
        <w:t xml:space="preserve"> </w:t>
      </w:r>
      <w:r>
        <w:rPr>
          <w:rFonts w:hint="eastAsia" w:ascii="仿宋_GB2312" w:hAnsi="仿宋_GB2312" w:eastAsia="仿宋_GB2312"/>
          <w:sz w:val="30"/>
          <w:szCs w:val="30"/>
          <w:lang w:eastAsia="zh-CN"/>
        </w:rPr>
        <w:t>LR1-杠杆率监管项目与相关会计项目的差异</w:t>
      </w:r>
    </w:p>
    <w:p>
      <w:pPr>
        <w:pStyle w:val="2"/>
        <w:ind w:firstLine="4620" w:firstLineChars="2100"/>
        <w:rPr>
          <w:rFonts w:hint="eastAsia" w:ascii="仿宋_GB2312" w:hAnsi="仿宋_GB2312" w:eastAsia="仿宋_GB2312"/>
          <w:sz w:val="22"/>
          <w:szCs w:val="22"/>
          <w:lang w:eastAsia="zh-CN"/>
        </w:rPr>
      </w:pPr>
      <w:r>
        <w:rPr>
          <w:rFonts w:hint="eastAsia" w:ascii="仿宋_GB2312" w:hAnsi="仿宋_GB2312" w:eastAsia="仿宋_GB2312"/>
          <w:sz w:val="22"/>
          <w:szCs w:val="22"/>
          <w:lang w:eastAsia="zh-CN"/>
        </w:rPr>
        <w:t>单位：人民币千元（百分比除外）</w:t>
      </w:r>
    </w:p>
    <w:tbl>
      <w:tblPr>
        <w:tblStyle w:val="8"/>
        <w:tblW w:w="54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97"/>
        <w:gridCol w:w="2700"/>
        <w:gridCol w:w="20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33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杠杆率监管项目与相关会计项目的差异</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2026年6月30日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并表总资产</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506,042,564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2</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并表调整项</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3</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客户资产调整项</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4</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衍生工具调整项</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8,890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5</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证券融资交易调整项</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-3,129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6</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表外项目调整项</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28,416,167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7</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资产证券化交易调整项</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8</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未结算金融资产调整项</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9</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现金池调整项</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10</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存款准备金调整项（如有）</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11</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审慎估值和减值准备调整项</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12</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其他调整项</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-2,188,903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b/>
                <w:i w:val="0"/>
                <w:color w:val="000000"/>
                <w:sz w:val="18"/>
                <w:szCs w:val="18"/>
                <w:u w:val="none"/>
              </w:rPr>
            </w:pPr>
            <w:r>
              <w:rPr>
                <w:rFonts w:hint="eastAsia" w:ascii="华文细黑" w:hAnsi="华文细黑" w:eastAsia="华文细黑" w:cs="华文细黑"/>
                <w:b/>
                <w:bCs/>
                <w:i w:val="0"/>
                <w:iCs w:val="0"/>
                <w:color w:val="000000"/>
                <w:kern w:val="0"/>
                <w:sz w:val="18"/>
                <w:szCs w:val="18"/>
                <w:u w:val="none"/>
                <w:lang w:val="en-US" w:eastAsia="zh-CN" w:bidi="ar"/>
              </w:rPr>
              <w:t>13</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b/>
                <w:i w:val="0"/>
                <w:color w:val="000000"/>
                <w:sz w:val="18"/>
                <w:szCs w:val="18"/>
                <w:u w:val="none"/>
              </w:rPr>
            </w:pPr>
            <w:r>
              <w:rPr>
                <w:rFonts w:hint="eastAsia" w:ascii="华文细黑" w:hAnsi="华文细黑" w:eastAsia="华文细黑" w:cs="华文细黑"/>
                <w:b/>
                <w:bCs/>
                <w:i w:val="0"/>
                <w:iCs w:val="0"/>
                <w:color w:val="000000"/>
                <w:kern w:val="0"/>
                <w:sz w:val="18"/>
                <w:szCs w:val="18"/>
                <w:u w:val="none"/>
                <w:lang w:val="en-US" w:eastAsia="zh-CN" w:bidi="ar"/>
              </w:rPr>
              <w:t>调整后表内外资产余额</w:t>
            </w:r>
          </w:p>
        </w:tc>
        <w:tc>
          <w:tcPr>
            <w:tcW w:w="2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532,275,589 </w:t>
            </w:r>
          </w:p>
        </w:tc>
      </w:tr>
    </w:tbl>
    <w:p>
      <w:pPr>
        <w:pStyle w:val="2"/>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（二）杠杆率</w:t>
      </w:r>
    </w:p>
    <w:p>
      <w:pPr>
        <w:pStyle w:val="2"/>
        <w:ind w:firstLine="640" w:firstLineChars="200"/>
        <w:rPr>
          <w:rFonts w:hint="eastAsia" w:ascii="仿宋_GB2312" w:hAnsi="仿宋_GB2312" w:eastAsia="仿宋_GB2312"/>
          <w:sz w:val="32"/>
          <w:szCs w:val="32"/>
          <w:lang w:eastAsia="zh-CN"/>
        </w:rPr>
      </w:pPr>
      <w:r>
        <w:rPr>
          <w:rFonts w:hint="eastAsia" w:ascii="仿宋_GB2312" w:hAnsi="仿宋_GB2312" w:eastAsia="仿宋_GB2312"/>
          <w:sz w:val="32"/>
          <w:szCs w:val="32"/>
          <w:lang w:eastAsia="zh-CN"/>
        </w:rPr>
        <w:t>截至</w:t>
      </w:r>
      <w:r>
        <w:rPr>
          <w:rFonts w:hint="eastAsia" w:ascii="仿宋_GB2312" w:hAnsi="仿宋_GB2312" w:eastAsia="仿宋_GB2312"/>
          <w:sz w:val="32"/>
          <w:szCs w:val="32"/>
          <w:lang w:val="en-US" w:eastAsia="zh-CN"/>
        </w:rPr>
        <w:t>2026</w:t>
      </w:r>
      <w:r>
        <w:rPr>
          <w:rFonts w:hint="eastAsia" w:ascii="仿宋_GB2312" w:hAnsi="仿宋_GB2312" w:eastAsia="仿宋_GB2312"/>
          <w:sz w:val="32"/>
          <w:szCs w:val="32"/>
          <w:lang w:eastAsia="zh-CN"/>
        </w:rPr>
        <w:t>年</w:t>
      </w:r>
      <w:r>
        <w:rPr>
          <w:rFonts w:hint="eastAsia" w:ascii="仿宋_GB2312" w:hAnsi="仿宋_GB2312" w:eastAsia="仿宋_GB2312"/>
          <w:sz w:val="32"/>
          <w:szCs w:val="32"/>
          <w:lang w:val="en-US" w:eastAsia="zh-CN"/>
        </w:rPr>
        <w:t>6月</w:t>
      </w:r>
      <w:r>
        <w:rPr>
          <w:rFonts w:hint="eastAsia" w:ascii="仿宋_GB2312" w:hAnsi="仿宋_GB2312" w:eastAsia="仿宋_GB2312"/>
          <w:sz w:val="32"/>
          <w:szCs w:val="32"/>
          <w:lang w:eastAsia="zh-CN"/>
        </w:rPr>
        <w:t>末，本行杠杆率为</w:t>
      </w:r>
      <w:r>
        <w:rPr>
          <w:rFonts w:hint="eastAsia" w:ascii="仿宋_GB2312" w:hAnsi="仿宋_GB2312" w:eastAsia="仿宋_GB2312"/>
          <w:sz w:val="32"/>
          <w:szCs w:val="32"/>
          <w:lang w:val="en-US" w:eastAsia="zh-CN"/>
        </w:rPr>
        <w:t>7.82</w:t>
      </w:r>
      <w:r>
        <w:rPr>
          <w:rFonts w:hint="eastAsia" w:ascii="仿宋_GB2312" w:hAnsi="仿宋_GB2312" w:eastAsia="仿宋_GB2312"/>
          <w:sz w:val="32"/>
          <w:szCs w:val="32"/>
          <w:lang w:eastAsia="zh-CN"/>
        </w:rPr>
        <w:t>%，满足监管不低于4%的要求。具体杠杆率情况如下表：</w:t>
      </w:r>
    </w:p>
    <w:p>
      <w:pPr>
        <w:pStyle w:val="2"/>
        <w:ind w:firstLine="0" w:firstLineChars="0"/>
        <w:jc w:val="center"/>
        <w:rPr>
          <w:rFonts w:hint="eastAsia" w:ascii="仿宋_GB2312" w:hAnsi="仿宋_GB2312" w:eastAsia="仿宋_GB2312"/>
          <w:sz w:val="32"/>
          <w:szCs w:val="32"/>
          <w:lang w:eastAsia="zh-CN"/>
        </w:rPr>
      </w:pPr>
      <w:r>
        <w:rPr>
          <w:rFonts w:hint="eastAsia" w:ascii="仿宋_GB2312" w:hAnsi="仿宋_GB2312" w:eastAsia="仿宋_GB2312"/>
          <w:sz w:val="32"/>
          <w:szCs w:val="32"/>
          <w:lang w:eastAsia="zh-CN"/>
        </w:rPr>
        <w:t>表6</w:t>
      </w:r>
      <w:r>
        <w:rPr>
          <w:rFonts w:hint="eastAsia" w:ascii="仿宋_GB2312" w:hAnsi="仿宋_GB2312" w:eastAsia="仿宋_GB2312"/>
          <w:sz w:val="32"/>
          <w:szCs w:val="32"/>
          <w:lang w:val="en-US" w:eastAsia="zh-CN"/>
        </w:rPr>
        <w:t xml:space="preserve"> </w:t>
      </w:r>
      <w:r>
        <w:rPr>
          <w:rFonts w:hint="eastAsia" w:ascii="仿宋_GB2312" w:hAnsi="仿宋_GB2312" w:eastAsia="仿宋_GB2312"/>
          <w:sz w:val="32"/>
          <w:szCs w:val="32"/>
          <w:lang w:eastAsia="zh-CN"/>
        </w:rPr>
        <w:t>LR2-杠杆率</w:t>
      </w:r>
    </w:p>
    <w:p>
      <w:pPr>
        <w:pStyle w:val="2"/>
        <w:ind w:firstLine="4620" w:firstLineChars="2100"/>
        <w:rPr>
          <w:rFonts w:hint="eastAsia" w:ascii="仿宋_GB2312" w:hAnsi="仿宋_GB2312" w:eastAsia="仿宋_GB2312"/>
          <w:sz w:val="22"/>
          <w:szCs w:val="22"/>
          <w:lang w:eastAsia="zh-CN"/>
        </w:rPr>
      </w:pPr>
      <w:r>
        <w:rPr>
          <w:rFonts w:hint="eastAsia" w:ascii="仿宋_GB2312" w:hAnsi="仿宋_GB2312" w:eastAsia="仿宋_GB2312"/>
          <w:sz w:val="22"/>
          <w:szCs w:val="22"/>
          <w:lang w:eastAsia="zh-CN"/>
        </w:rPr>
        <w:t>单位：人民币千元（百分比除外）</w:t>
      </w:r>
    </w:p>
    <w:tbl>
      <w:tblPr>
        <w:tblStyle w:val="8"/>
        <w:tblW w:w="757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824"/>
        <w:gridCol w:w="3193"/>
        <w:gridCol w:w="1825"/>
        <w:gridCol w:w="173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01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杠杆率</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401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华文细黑" w:hAnsi="华文细黑" w:eastAsia="华文细黑" w:cs="华文细黑"/>
                <w:i w:val="0"/>
                <w:color w:val="000000"/>
                <w:sz w:val="18"/>
                <w:szCs w:val="18"/>
                <w:u w:val="none"/>
              </w:rPr>
            </w:pP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2026年6月30日</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2026年3月31日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7578" w:type="dxa"/>
            <w:gridSpan w:val="4"/>
            <w:tcBorders>
              <w:left w:val="single" w:color="000000" w:sz="4" w:space="0"/>
            </w:tcBorders>
            <w:shd w:val="clear" w:color="auto" w:fill="D9D9D9"/>
            <w:vAlign w:val="bottom"/>
          </w:tcPr>
          <w:p>
            <w:pPr>
              <w:keepNext w:val="0"/>
              <w:keepLines w:val="0"/>
              <w:widowControl/>
              <w:suppressLineNumbers w:val="0"/>
              <w:jc w:val="left"/>
              <w:textAlignment w:val="bottom"/>
              <w:rPr>
                <w:rFonts w:hint="default" w:ascii="华文细黑" w:hAnsi="华文细黑" w:eastAsia="华文细黑" w:cs="华文细黑"/>
                <w:b/>
                <w:i w:val="0"/>
                <w:color w:val="000000"/>
                <w:sz w:val="18"/>
                <w:szCs w:val="18"/>
                <w:u w:val="none"/>
              </w:rPr>
            </w:pPr>
            <w:r>
              <w:rPr>
                <w:rFonts w:hint="eastAsia" w:ascii="华文细黑" w:hAnsi="华文细黑" w:eastAsia="华文细黑" w:cs="华文细黑"/>
                <w:b/>
                <w:bCs/>
                <w:i w:val="0"/>
                <w:iCs w:val="0"/>
                <w:color w:val="000000"/>
                <w:kern w:val="0"/>
                <w:sz w:val="18"/>
                <w:szCs w:val="18"/>
                <w:u w:val="none"/>
                <w:lang w:val="en-US" w:eastAsia="zh-CN" w:bidi="ar"/>
              </w:rPr>
              <w:t>表内资产余额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w:t>
            </w:r>
          </w:p>
        </w:tc>
        <w:tc>
          <w:tcPr>
            <w:tcW w:w="3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表内资产（除衍生工具和证券融资交易外）</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515,436,310 </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515,656,346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0"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2</w:t>
            </w:r>
          </w:p>
        </w:tc>
        <w:tc>
          <w:tcPr>
            <w:tcW w:w="3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减：减值准备</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-11,396,824 </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-12,249,508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3</w:t>
            </w:r>
          </w:p>
        </w:tc>
        <w:tc>
          <w:tcPr>
            <w:tcW w:w="3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减：一级资本扣除项</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-2,188,903 </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-2,050,053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4</w:t>
            </w:r>
          </w:p>
        </w:tc>
        <w:tc>
          <w:tcPr>
            <w:tcW w:w="3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细黑" w:hAnsi="华文细黑" w:eastAsia="华文细黑" w:cs="华文细黑"/>
                <w:b/>
                <w:i w:val="0"/>
                <w:color w:val="000000"/>
                <w:sz w:val="18"/>
                <w:szCs w:val="18"/>
                <w:u w:val="none"/>
              </w:rPr>
            </w:pPr>
            <w:r>
              <w:rPr>
                <w:rFonts w:hint="eastAsia" w:ascii="华文细黑" w:hAnsi="华文细黑" w:eastAsia="华文细黑" w:cs="华文细黑"/>
                <w:b/>
                <w:bCs/>
                <w:i w:val="0"/>
                <w:iCs w:val="0"/>
                <w:color w:val="000000"/>
                <w:kern w:val="0"/>
                <w:sz w:val="18"/>
                <w:szCs w:val="18"/>
                <w:u w:val="none"/>
                <w:lang w:val="en-US" w:eastAsia="zh-CN" w:bidi="ar"/>
              </w:rPr>
              <w:t>调整后的表内资产余额（衍生工具和证券融资交易除外）</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501,850,583 </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501,356,785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jc w:val="center"/>
        </w:trPr>
        <w:tc>
          <w:tcPr>
            <w:tcW w:w="7578" w:type="dxa"/>
            <w:gridSpan w:val="4"/>
            <w:tcBorders>
              <w:top w:val="single" w:color="000000" w:sz="4" w:space="0"/>
              <w:left w:val="single" w:color="000000" w:sz="4" w:space="0"/>
              <w:bottom w:val="single" w:color="000000" w:sz="4" w:space="0"/>
              <w:right w:val="single" w:color="000000" w:sz="4" w:space="0"/>
            </w:tcBorders>
            <w:shd w:val="clear" w:color="auto" w:fill="D9D9D9"/>
            <w:vAlign w:val="bottom"/>
          </w:tcPr>
          <w:p>
            <w:pPr>
              <w:keepNext w:val="0"/>
              <w:keepLines w:val="0"/>
              <w:widowControl/>
              <w:suppressLineNumbers w:val="0"/>
              <w:jc w:val="left"/>
              <w:textAlignment w:val="bottom"/>
              <w:rPr>
                <w:rFonts w:hint="default" w:ascii="华文细黑" w:hAnsi="华文细黑" w:eastAsia="华文细黑" w:cs="华文细黑"/>
                <w:b/>
                <w:i w:val="0"/>
                <w:color w:val="000000"/>
                <w:sz w:val="18"/>
                <w:szCs w:val="18"/>
                <w:u w:val="none"/>
              </w:rPr>
            </w:pPr>
            <w:r>
              <w:rPr>
                <w:rFonts w:hint="eastAsia" w:ascii="华文细黑" w:hAnsi="华文细黑" w:eastAsia="华文细黑" w:cs="华文细黑"/>
                <w:b/>
                <w:bCs/>
                <w:i w:val="0"/>
                <w:iCs w:val="0"/>
                <w:color w:val="000000"/>
                <w:kern w:val="0"/>
                <w:sz w:val="18"/>
                <w:szCs w:val="18"/>
                <w:u w:val="none"/>
                <w:lang w:val="en-US" w:eastAsia="zh-CN" w:bidi="ar"/>
              </w:rPr>
              <w:t>衍生工具资产余额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5</w:t>
            </w:r>
          </w:p>
        </w:tc>
        <w:tc>
          <w:tcPr>
            <w:tcW w:w="3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各类衍生工具的重置成本（扣除合格保证金，考虑双边净额结算协议的影响）</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112,619 </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476,430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6</w:t>
            </w:r>
          </w:p>
        </w:tc>
        <w:tc>
          <w:tcPr>
            <w:tcW w:w="3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各类衍生工具的潜在风险暴露</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57,659 </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17,571,601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7</w:t>
            </w:r>
          </w:p>
        </w:tc>
        <w:tc>
          <w:tcPr>
            <w:tcW w:w="3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已从资产负债表中扣除的抵质押品总和</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8</w:t>
            </w:r>
          </w:p>
        </w:tc>
        <w:tc>
          <w:tcPr>
            <w:tcW w:w="3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减：因提供合格保证金形成的应收资产</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0"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9</w:t>
            </w:r>
          </w:p>
        </w:tc>
        <w:tc>
          <w:tcPr>
            <w:tcW w:w="3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减：为客户提供清算服务时与中央交易对手交易形成的衍生工具资产余额</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10</w:t>
            </w:r>
          </w:p>
        </w:tc>
        <w:tc>
          <w:tcPr>
            <w:tcW w:w="3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卖出信用衍生工具的名义本金</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11</w:t>
            </w:r>
          </w:p>
        </w:tc>
        <w:tc>
          <w:tcPr>
            <w:tcW w:w="3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减：可扣除的卖出信用衍生工具资产余额</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12</w:t>
            </w:r>
          </w:p>
        </w:tc>
        <w:tc>
          <w:tcPr>
            <w:tcW w:w="3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b/>
                <w:i w:val="0"/>
                <w:color w:val="000000"/>
                <w:sz w:val="18"/>
                <w:szCs w:val="18"/>
                <w:u w:val="none"/>
              </w:rPr>
            </w:pPr>
            <w:r>
              <w:rPr>
                <w:rFonts w:hint="eastAsia" w:ascii="华文细黑" w:hAnsi="华文细黑" w:eastAsia="华文细黑" w:cs="华文细黑"/>
                <w:b/>
                <w:bCs/>
                <w:i w:val="0"/>
                <w:iCs w:val="0"/>
                <w:color w:val="000000"/>
                <w:kern w:val="0"/>
                <w:sz w:val="18"/>
                <w:szCs w:val="18"/>
                <w:u w:val="none"/>
                <w:lang w:val="en-US" w:eastAsia="zh-CN" w:bidi="ar"/>
              </w:rPr>
              <w:t>衍生工具资产余额</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170,278 </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18,048,031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7578" w:type="dxa"/>
            <w:gridSpan w:val="4"/>
            <w:tcBorders>
              <w:top w:val="single" w:color="000000" w:sz="4" w:space="0"/>
              <w:left w:val="single" w:color="000000" w:sz="4" w:space="0"/>
              <w:bottom w:val="single" w:color="000000" w:sz="4" w:space="0"/>
              <w:right w:val="single" w:color="000000" w:sz="4" w:space="0"/>
            </w:tcBorders>
            <w:shd w:val="clear" w:color="auto" w:fill="D9D9D9"/>
            <w:vAlign w:val="bottom"/>
          </w:tcPr>
          <w:p>
            <w:pPr>
              <w:keepNext w:val="0"/>
              <w:keepLines w:val="0"/>
              <w:widowControl/>
              <w:suppressLineNumbers w:val="0"/>
              <w:jc w:val="left"/>
              <w:textAlignment w:val="bottom"/>
              <w:rPr>
                <w:rFonts w:hint="default" w:ascii="华文细黑" w:hAnsi="华文细黑" w:eastAsia="华文细黑" w:cs="华文细黑"/>
                <w:b/>
                <w:i w:val="0"/>
                <w:color w:val="000000"/>
                <w:sz w:val="18"/>
                <w:szCs w:val="18"/>
                <w:u w:val="none"/>
              </w:rPr>
            </w:pPr>
            <w:r>
              <w:rPr>
                <w:rFonts w:hint="eastAsia" w:ascii="华文细黑" w:hAnsi="华文细黑" w:eastAsia="华文细黑" w:cs="华文细黑"/>
                <w:b/>
                <w:bCs/>
                <w:i w:val="0"/>
                <w:iCs w:val="0"/>
                <w:color w:val="000000"/>
                <w:kern w:val="0"/>
                <w:sz w:val="18"/>
                <w:szCs w:val="18"/>
                <w:u w:val="none"/>
                <w:lang w:val="en-US" w:eastAsia="zh-CN" w:bidi="ar"/>
              </w:rPr>
              <w:t>证券融资交易资产余额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13</w:t>
            </w:r>
          </w:p>
        </w:tc>
        <w:tc>
          <w:tcPr>
            <w:tcW w:w="3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证券融资交易的会计资产余额</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1,838,561 </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5,034,511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14</w:t>
            </w:r>
          </w:p>
        </w:tc>
        <w:tc>
          <w:tcPr>
            <w:tcW w:w="3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减：可以扣除的证券融资交易资产余额</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15</w:t>
            </w:r>
          </w:p>
        </w:tc>
        <w:tc>
          <w:tcPr>
            <w:tcW w:w="3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证券融资交易的交易对手信用风险暴露</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16</w:t>
            </w:r>
          </w:p>
        </w:tc>
        <w:tc>
          <w:tcPr>
            <w:tcW w:w="3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代理证券融资交易形成的证券融资交易资产余额</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17</w:t>
            </w:r>
          </w:p>
        </w:tc>
        <w:tc>
          <w:tcPr>
            <w:tcW w:w="3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b/>
                <w:i w:val="0"/>
                <w:color w:val="000000"/>
                <w:sz w:val="18"/>
                <w:szCs w:val="18"/>
                <w:u w:val="none"/>
              </w:rPr>
            </w:pPr>
            <w:r>
              <w:rPr>
                <w:rFonts w:hint="eastAsia" w:ascii="华文细黑" w:hAnsi="华文细黑" w:eastAsia="华文细黑" w:cs="华文细黑"/>
                <w:b/>
                <w:bCs/>
                <w:i w:val="0"/>
                <w:iCs w:val="0"/>
                <w:color w:val="000000"/>
                <w:kern w:val="0"/>
                <w:sz w:val="18"/>
                <w:szCs w:val="18"/>
                <w:u w:val="none"/>
                <w:lang w:val="en-US" w:eastAsia="zh-CN" w:bidi="ar"/>
              </w:rPr>
              <w:t>证券融资交易资产余额</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1,838,561 </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5,034,511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jc w:val="center"/>
        </w:trPr>
        <w:tc>
          <w:tcPr>
            <w:tcW w:w="7578" w:type="dxa"/>
            <w:gridSpan w:val="4"/>
            <w:tcBorders>
              <w:top w:val="single" w:color="000000" w:sz="4" w:space="0"/>
              <w:left w:val="single" w:color="000000" w:sz="4" w:space="0"/>
              <w:bottom w:val="single" w:color="000000" w:sz="4" w:space="0"/>
              <w:right w:val="single" w:color="000000" w:sz="4" w:space="0"/>
            </w:tcBorders>
            <w:shd w:val="clear" w:color="auto" w:fill="D9D9D9"/>
            <w:vAlign w:val="bottom"/>
          </w:tcPr>
          <w:p>
            <w:pPr>
              <w:keepNext w:val="0"/>
              <w:keepLines w:val="0"/>
              <w:widowControl/>
              <w:suppressLineNumbers w:val="0"/>
              <w:jc w:val="left"/>
              <w:textAlignment w:val="bottom"/>
              <w:rPr>
                <w:rFonts w:hint="default" w:ascii="华文细黑" w:hAnsi="华文细黑" w:eastAsia="华文细黑" w:cs="华文细黑"/>
                <w:b/>
                <w:i w:val="0"/>
                <w:color w:val="000000"/>
                <w:sz w:val="18"/>
                <w:szCs w:val="18"/>
                <w:u w:val="none"/>
              </w:rPr>
            </w:pPr>
            <w:r>
              <w:rPr>
                <w:rFonts w:hint="eastAsia" w:ascii="华文细黑" w:hAnsi="华文细黑" w:eastAsia="华文细黑" w:cs="华文细黑"/>
                <w:b/>
                <w:bCs/>
                <w:i w:val="0"/>
                <w:iCs w:val="0"/>
                <w:color w:val="000000"/>
                <w:kern w:val="0"/>
                <w:sz w:val="18"/>
                <w:szCs w:val="18"/>
                <w:u w:val="none"/>
                <w:lang w:val="en-US" w:eastAsia="zh-CN" w:bidi="ar"/>
              </w:rPr>
              <w:t>表外项目余额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18</w:t>
            </w:r>
          </w:p>
        </w:tc>
        <w:tc>
          <w:tcPr>
            <w:tcW w:w="3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表外项目余额</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49,131,152 </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46,276,468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19</w:t>
            </w:r>
          </w:p>
        </w:tc>
        <w:tc>
          <w:tcPr>
            <w:tcW w:w="3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减：因信用转换调整的表外项目余额</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-20,586,732 </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-18,338,925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20</w:t>
            </w:r>
          </w:p>
        </w:tc>
        <w:tc>
          <w:tcPr>
            <w:tcW w:w="3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减：减值准备</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-128,253 </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-190,136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21</w:t>
            </w:r>
          </w:p>
        </w:tc>
        <w:tc>
          <w:tcPr>
            <w:tcW w:w="3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b/>
                <w:i w:val="0"/>
                <w:color w:val="000000"/>
                <w:sz w:val="18"/>
                <w:szCs w:val="18"/>
                <w:u w:val="none"/>
              </w:rPr>
            </w:pPr>
            <w:r>
              <w:rPr>
                <w:rFonts w:hint="eastAsia" w:ascii="华文细黑" w:hAnsi="华文细黑" w:eastAsia="华文细黑" w:cs="华文细黑"/>
                <w:b/>
                <w:bCs/>
                <w:i w:val="0"/>
                <w:iCs w:val="0"/>
                <w:color w:val="000000"/>
                <w:kern w:val="0"/>
                <w:sz w:val="18"/>
                <w:szCs w:val="18"/>
                <w:u w:val="none"/>
                <w:lang w:val="en-US" w:eastAsia="zh-CN" w:bidi="ar"/>
              </w:rPr>
              <w:t>调整后的表外项目余额</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28,416,167 </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27,747,407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jc w:val="center"/>
        </w:trPr>
        <w:tc>
          <w:tcPr>
            <w:tcW w:w="7578" w:type="dxa"/>
            <w:gridSpan w:val="4"/>
            <w:tcBorders>
              <w:top w:val="single" w:color="000000" w:sz="4" w:space="0"/>
              <w:left w:val="single" w:color="000000" w:sz="4" w:space="0"/>
              <w:bottom w:val="single" w:color="000000" w:sz="4" w:space="0"/>
              <w:right w:val="single" w:color="000000" w:sz="4" w:space="0"/>
            </w:tcBorders>
            <w:shd w:val="clear" w:color="auto" w:fill="D9D9D9"/>
            <w:vAlign w:val="bottom"/>
          </w:tcPr>
          <w:p>
            <w:pPr>
              <w:keepNext w:val="0"/>
              <w:keepLines w:val="0"/>
              <w:widowControl/>
              <w:suppressLineNumbers w:val="0"/>
              <w:jc w:val="left"/>
              <w:textAlignment w:val="bottom"/>
              <w:rPr>
                <w:rFonts w:hint="default" w:ascii="华文细黑" w:hAnsi="华文细黑" w:eastAsia="华文细黑" w:cs="华文细黑"/>
                <w:b/>
                <w:i w:val="0"/>
                <w:color w:val="000000"/>
                <w:sz w:val="18"/>
                <w:szCs w:val="18"/>
                <w:u w:val="none"/>
              </w:rPr>
            </w:pPr>
            <w:r>
              <w:rPr>
                <w:rFonts w:hint="eastAsia" w:ascii="华文细黑" w:hAnsi="华文细黑" w:eastAsia="华文细黑" w:cs="华文细黑"/>
                <w:b/>
                <w:bCs/>
                <w:i w:val="0"/>
                <w:iCs w:val="0"/>
                <w:color w:val="000000"/>
                <w:kern w:val="0"/>
                <w:sz w:val="18"/>
                <w:szCs w:val="18"/>
                <w:u w:val="none"/>
                <w:lang w:val="en-US" w:eastAsia="zh-CN" w:bidi="ar"/>
              </w:rPr>
              <w:t>一级资本净额和调整后表内外资产余额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22</w:t>
            </w:r>
          </w:p>
        </w:tc>
        <w:tc>
          <w:tcPr>
            <w:tcW w:w="3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一级资本净额</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41,599,532 </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42,265,889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23</w:t>
            </w:r>
          </w:p>
        </w:tc>
        <w:tc>
          <w:tcPr>
            <w:tcW w:w="3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调整后表内外资产余额</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532,275,589 </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552,186,734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jc w:val="center"/>
        </w:trPr>
        <w:tc>
          <w:tcPr>
            <w:tcW w:w="7578" w:type="dxa"/>
            <w:gridSpan w:val="4"/>
            <w:tcBorders>
              <w:top w:val="single" w:color="000000" w:sz="4" w:space="0"/>
              <w:left w:val="single" w:color="000000" w:sz="4" w:space="0"/>
              <w:bottom w:val="single" w:color="000000" w:sz="4" w:space="0"/>
              <w:right w:val="single" w:color="000000" w:sz="4" w:space="0"/>
            </w:tcBorders>
            <w:shd w:val="clear" w:color="auto" w:fill="D9D9D9"/>
            <w:vAlign w:val="bottom"/>
          </w:tcPr>
          <w:p>
            <w:pPr>
              <w:keepNext w:val="0"/>
              <w:keepLines w:val="0"/>
              <w:widowControl/>
              <w:suppressLineNumbers w:val="0"/>
              <w:jc w:val="left"/>
              <w:textAlignment w:val="bottom"/>
              <w:rPr>
                <w:rFonts w:hint="default" w:ascii="华文细黑" w:hAnsi="华文细黑" w:eastAsia="华文细黑" w:cs="华文细黑"/>
                <w:b/>
                <w:i w:val="0"/>
                <w:color w:val="000000"/>
                <w:sz w:val="18"/>
                <w:szCs w:val="18"/>
                <w:u w:val="none"/>
              </w:rPr>
            </w:pPr>
            <w:r>
              <w:rPr>
                <w:rFonts w:hint="eastAsia" w:ascii="华文细黑" w:hAnsi="华文细黑" w:eastAsia="华文细黑" w:cs="华文细黑"/>
                <w:b/>
                <w:bCs/>
                <w:i w:val="0"/>
                <w:iCs w:val="0"/>
                <w:color w:val="000000"/>
                <w:kern w:val="0"/>
                <w:sz w:val="18"/>
                <w:szCs w:val="18"/>
                <w:u w:val="none"/>
                <w:lang w:val="en-US" w:eastAsia="zh-CN" w:bidi="ar"/>
              </w:rPr>
              <w:t>杠杆率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24</w:t>
            </w:r>
          </w:p>
        </w:tc>
        <w:tc>
          <w:tcPr>
            <w:tcW w:w="3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杠杆率（%）</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7.82 </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7.65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24a</w:t>
            </w:r>
          </w:p>
        </w:tc>
        <w:tc>
          <w:tcPr>
            <w:tcW w:w="3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杠杆率a（%）</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7.82 </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7.65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25</w:t>
            </w:r>
          </w:p>
        </w:tc>
        <w:tc>
          <w:tcPr>
            <w:tcW w:w="3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最低杠杆率要求（%）</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4.00 </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华文细黑" w:hAnsi="华文细黑" w:eastAsia="华文细黑" w:cs="华文细黑"/>
                <w:i w:val="0"/>
                <w:color w:val="000000"/>
                <w:sz w:val="18"/>
                <w:szCs w:val="18"/>
                <w:u w:val="none"/>
              </w:rPr>
            </w:pPr>
            <w:r>
              <w:rPr>
                <w:rFonts w:hint="eastAsia" w:ascii="华文细黑" w:hAnsi="华文细黑" w:eastAsia="华文细黑" w:cs="华文细黑"/>
                <w:i w:val="0"/>
                <w:iCs w:val="0"/>
                <w:color w:val="000000"/>
                <w:kern w:val="0"/>
                <w:sz w:val="18"/>
                <w:szCs w:val="18"/>
                <w:u w:val="none"/>
                <w:lang w:val="en-US" w:eastAsia="zh-CN" w:bidi="ar"/>
              </w:rPr>
              <w:t xml:space="preserve">4.00 </w:t>
            </w:r>
          </w:p>
        </w:tc>
      </w:tr>
    </w:tbl>
    <w:p>
      <w:pPr>
        <w:pStyle w:val="2"/>
        <w:ind w:firstLine="0" w:firstLineChars="0"/>
        <w:rPr>
          <w:rFonts w:hint="eastAsia" w:ascii="仿宋_GB2312" w:hAnsi="仿宋_GB2312" w:eastAsia="仿宋_GB2312"/>
          <w:sz w:val="32"/>
          <w:szCs w:val="32"/>
          <w:lang w:eastAsia="zh-CN"/>
        </w:rPr>
      </w:pPr>
    </w:p>
    <w:p>
      <w:pPr>
        <w:pStyle w:val="2"/>
        <w:numPr>
          <w:ilvl w:val="-1"/>
          <w:numId w:val="0"/>
        </w:numPr>
        <w:ind w:left="0" w:leftChars="0" w:firstLine="640" w:firstLineChars="0"/>
        <w:rPr>
          <w:rFonts w:hint="eastAsia" w:ascii="仿宋_GB2312" w:hAnsi="仿宋_GB2312" w:eastAsia="仿宋_GB2312" w:cs="仿宋_GB2312"/>
          <w:sz w:val="32"/>
          <w:szCs w:val="32"/>
          <w:lang w:val="en-US" w:eastAsia="zh-CN"/>
        </w:rPr>
      </w:pPr>
    </w:p>
    <w:sectPr>
      <w:footerReference r:id="rId3" w:type="default"/>
      <w:pgSz w:w="11906" w:h="16838"/>
      <w:pgMar w:top="2098" w:right="1474" w:bottom="1984"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宋体" w:hAnsi="宋体" w:eastAsia="宋体" w:cs="宋体"/>
                              <w:sz w:val="28"/>
                              <w:szCs w:val="28"/>
                              <w:lang w:eastAsia="zh-CN"/>
                            </w:rPr>
                          </w:pPr>
                          <w:r>
                            <w:rPr>
                              <w:rFonts w:hint="eastAsia" w:ascii="宋体" w:hAnsi="宋体" w:eastAsia="宋体" w:cs="宋体"/>
                              <w:sz w:val="24"/>
                              <w:lang w:eastAsia="zh-CN"/>
                            </w:rPr>
                            <w:fldChar w:fldCharType="begin"/>
                          </w:r>
                          <w:r>
                            <w:rPr>
                              <w:rFonts w:hint="eastAsia" w:ascii="宋体" w:hAnsi="宋体" w:eastAsia="宋体" w:cs="宋体"/>
                              <w:sz w:val="24"/>
                              <w:lang w:eastAsia="zh-CN"/>
                            </w:rPr>
                            <w:instrText xml:space="preserve"> PAGE  \* MERGEFORMAT </w:instrText>
                          </w:r>
                          <w:r>
                            <w:rPr>
                              <w:rFonts w:hint="eastAsia" w:ascii="宋体" w:hAnsi="宋体" w:eastAsia="宋体" w:cs="宋体"/>
                              <w:sz w:val="24"/>
                              <w:lang w:eastAsia="zh-CN"/>
                            </w:rPr>
                            <w:fldChar w:fldCharType="separate"/>
                          </w:r>
                          <w:r>
                            <w:rPr>
                              <w:rFonts w:hint="eastAsia" w:ascii="宋体" w:hAnsi="宋体" w:eastAsia="宋体" w:cs="宋体"/>
                              <w:sz w:val="24"/>
                              <w:lang w:eastAsia="zh-CN"/>
                            </w:rPr>
                            <w:t>1</w:t>
                          </w:r>
                          <w:r>
                            <w:rPr>
                              <w:rFonts w:hint="eastAsia" w:ascii="宋体" w:hAnsi="宋体" w:eastAsia="宋体" w:cs="宋体"/>
                              <w:sz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5"/>
                      <w:rPr>
                        <w:rFonts w:hint="eastAsia" w:ascii="宋体" w:hAnsi="宋体" w:eastAsia="宋体" w:cs="宋体"/>
                        <w:sz w:val="28"/>
                        <w:szCs w:val="28"/>
                        <w:lang w:eastAsia="zh-CN"/>
                      </w:rPr>
                    </w:pPr>
                    <w:r>
                      <w:rPr>
                        <w:rFonts w:hint="eastAsia" w:ascii="宋体" w:hAnsi="宋体" w:eastAsia="宋体" w:cs="宋体"/>
                        <w:sz w:val="24"/>
                        <w:lang w:eastAsia="zh-CN"/>
                      </w:rPr>
                      <w:fldChar w:fldCharType="begin"/>
                    </w:r>
                    <w:r>
                      <w:rPr>
                        <w:rFonts w:hint="eastAsia" w:ascii="宋体" w:hAnsi="宋体" w:eastAsia="宋体" w:cs="宋体"/>
                        <w:sz w:val="24"/>
                        <w:lang w:eastAsia="zh-CN"/>
                      </w:rPr>
                      <w:instrText xml:space="preserve"> PAGE  \* MERGEFORMAT </w:instrText>
                    </w:r>
                    <w:r>
                      <w:rPr>
                        <w:rFonts w:hint="eastAsia" w:ascii="宋体" w:hAnsi="宋体" w:eastAsia="宋体" w:cs="宋体"/>
                        <w:sz w:val="24"/>
                        <w:lang w:eastAsia="zh-CN"/>
                      </w:rPr>
                      <w:fldChar w:fldCharType="separate"/>
                    </w:r>
                    <w:r>
                      <w:rPr>
                        <w:rFonts w:hint="eastAsia" w:ascii="宋体" w:hAnsi="宋体" w:eastAsia="宋体" w:cs="宋体"/>
                        <w:sz w:val="24"/>
                        <w:lang w:eastAsia="zh-CN"/>
                      </w:rPr>
                      <w:t>1</w:t>
                    </w:r>
                    <w:r>
                      <w:rPr>
                        <w:rFonts w:hint="eastAsia" w:ascii="宋体" w:hAnsi="宋体" w:eastAsia="宋体" w:cs="宋体"/>
                        <w:sz w:val="24"/>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062BA"/>
    <w:rsid w:val="00F24606"/>
    <w:rsid w:val="016C4A53"/>
    <w:rsid w:val="01ED0F82"/>
    <w:rsid w:val="020F03C1"/>
    <w:rsid w:val="026754E7"/>
    <w:rsid w:val="02B44D5B"/>
    <w:rsid w:val="03ED5D4A"/>
    <w:rsid w:val="053910E8"/>
    <w:rsid w:val="058A585C"/>
    <w:rsid w:val="05EF2542"/>
    <w:rsid w:val="05F44D61"/>
    <w:rsid w:val="0711051E"/>
    <w:rsid w:val="071528C6"/>
    <w:rsid w:val="07E16B19"/>
    <w:rsid w:val="080F2845"/>
    <w:rsid w:val="086E188C"/>
    <w:rsid w:val="0AAA770C"/>
    <w:rsid w:val="0AE96EA3"/>
    <w:rsid w:val="0BD66005"/>
    <w:rsid w:val="0C1B1D98"/>
    <w:rsid w:val="0C232E09"/>
    <w:rsid w:val="0D3270C4"/>
    <w:rsid w:val="12D84152"/>
    <w:rsid w:val="12E10411"/>
    <w:rsid w:val="12E87171"/>
    <w:rsid w:val="14CF06EB"/>
    <w:rsid w:val="15BF328E"/>
    <w:rsid w:val="16205875"/>
    <w:rsid w:val="16426B6B"/>
    <w:rsid w:val="16CE368E"/>
    <w:rsid w:val="173A79C1"/>
    <w:rsid w:val="17B67874"/>
    <w:rsid w:val="18177A39"/>
    <w:rsid w:val="18CD0E97"/>
    <w:rsid w:val="19194716"/>
    <w:rsid w:val="19BD2480"/>
    <w:rsid w:val="1A2C7223"/>
    <w:rsid w:val="1A671C0E"/>
    <w:rsid w:val="1BBC0A2B"/>
    <w:rsid w:val="1BDF238A"/>
    <w:rsid w:val="1C485306"/>
    <w:rsid w:val="1CE0395A"/>
    <w:rsid w:val="1D5D38F5"/>
    <w:rsid w:val="1DD27A9D"/>
    <w:rsid w:val="1DD55F02"/>
    <w:rsid w:val="1FA95A20"/>
    <w:rsid w:val="2003755A"/>
    <w:rsid w:val="205154E2"/>
    <w:rsid w:val="22936A35"/>
    <w:rsid w:val="239D567C"/>
    <w:rsid w:val="27587CCE"/>
    <w:rsid w:val="2A3F5892"/>
    <w:rsid w:val="2B234148"/>
    <w:rsid w:val="2BCE4064"/>
    <w:rsid w:val="2D80413E"/>
    <w:rsid w:val="2DB5450D"/>
    <w:rsid w:val="2EB8027C"/>
    <w:rsid w:val="2F843C06"/>
    <w:rsid w:val="31AF0A9C"/>
    <w:rsid w:val="322B63AC"/>
    <w:rsid w:val="33AF3C8A"/>
    <w:rsid w:val="33D52E5F"/>
    <w:rsid w:val="34B2309A"/>
    <w:rsid w:val="359046E7"/>
    <w:rsid w:val="35BC1A4E"/>
    <w:rsid w:val="36676D1E"/>
    <w:rsid w:val="36E55A33"/>
    <w:rsid w:val="380B285D"/>
    <w:rsid w:val="38C14911"/>
    <w:rsid w:val="39411FC5"/>
    <w:rsid w:val="399216B9"/>
    <w:rsid w:val="39D04FAB"/>
    <w:rsid w:val="3C147E59"/>
    <w:rsid w:val="3C5D1E98"/>
    <w:rsid w:val="3CAA6821"/>
    <w:rsid w:val="3E600BFE"/>
    <w:rsid w:val="3EBC4775"/>
    <w:rsid w:val="3F0C005E"/>
    <w:rsid w:val="406D0A61"/>
    <w:rsid w:val="42130178"/>
    <w:rsid w:val="4259180B"/>
    <w:rsid w:val="436308A8"/>
    <w:rsid w:val="439C01C0"/>
    <w:rsid w:val="43CE4B96"/>
    <w:rsid w:val="43DF0EA4"/>
    <w:rsid w:val="441E1DA9"/>
    <w:rsid w:val="449427DA"/>
    <w:rsid w:val="45D1564D"/>
    <w:rsid w:val="46542381"/>
    <w:rsid w:val="4699601F"/>
    <w:rsid w:val="470367A6"/>
    <w:rsid w:val="485C3F80"/>
    <w:rsid w:val="487C587B"/>
    <w:rsid w:val="488471EB"/>
    <w:rsid w:val="48D97C71"/>
    <w:rsid w:val="48F12E59"/>
    <w:rsid w:val="491E7603"/>
    <w:rsid w:val="4A6D039A"/>
    <w:rsid w:val="4B8179A1"/>
    <w:rsid w:val="4BEB59AC"/>
    <w:rsid w:val="4BF607CB"/>
    <w:rsid w:val="4CEA1F77"/>
    <w:rsid w:val="4D380F30"/>
    <w:rsid w:val="4DCE208E"/>
    <w:rsid w:val="4DD967AF"/>
    <w:rsid w:val="4E603D23"/>
    <w:rsid w:val="4E846C6A"/>
    <w:rsid w:val="500A5B5B"/>
    <w:rsid w:val="502309D4"/>
    <w:rsid w:val="51FA4C31"/>
    <w:rsid w:val="53CE7088"/>
    <w:rsid w:val="54DA6B45"/>
    <w:rsid w:val="54E84B7F"/>
    <w:rsid w:val="54EE60FB"/>
    <w:rsid w:val="55164F4F"/>
    <w:rsid w:val="551C7FA4"/>
    <w:rsid w:val="558B4330"/>
    <w:rsid w:val="565718EB"/>
    <w:rsid w:val="56981DB2"/>
    <w:rsid w:val="57AE6829"/>
    <w:rsid w:val="57F93FAA"/>
    <w:rsid w:val="58E32895"/>
    <w:rsid w:val="58EB165F"/>
    <w:rsid w:val="597A3322"/>
    <w:rsid w:val="59F739A7"/>
    <w:rsid w:val="5A574984"/>
    <w:rsid w:val="5A8911D8"/>
    <w:rsid w:val="5B2F7DDB"/>
    <w:rsid w:val="5BBC32C1"/>
    <w:rsid w:val="5D0F51D2"/>
    <w:rsid w:val="5D3F1C47"/>
    <w:rsid w:val="5EAF3C67"/>
    <w:rsid w:val="5F1D4F2D"/>
    <w:rsid w:val="5FD15D41"/>
    <w:rsid w:val="600202BF"/>
    <w:rsid w:val="60090ED6"/>
    <w:rsid w:val="603C606C"/>
    <w:rsid w:val="60A75B62"/>
    <w:rsid w:val="60E376BA"/>
    <w:rsid w:val="6187140D"/>
    <w:rsid w:val="61A214AE"/>
    <w:rsid w:val="636640D7"/>
    <w:rsid w:val="638C4788"/>
    <w:rsid w:val="63E14F52"/>
    <w:rsid w:val="650D3C56"/>
    <w:rsid w:val="66E64526"/>
    <w:rsid w:val="66F5753F"/>
    <w:rsid w:val="67107BA4"/>
    <w:rsid w:val="679E53A8"/>
    <w:rsid w:val="696A319E"/>
    <w:rsid w:val="6A477D54"/>
    <w:rsid w:val="6B0E3EE0"/>
    <w:rsid w:val="6B3E3983"/>
    <w:rsid w:val="6B5C2B66"/>
    <w:rsid w:val="6CE32422"/>
    <w:rsid w:val="6D0D6700"/>
    <w:rsid w:val="6D317D8E"/>
    <w:rsid w:val="6E410F56"/>
    <w:rsid w:val="6E6D0EC6"/>
    <w:rsid w:val="6EB14D27"/>
    <w:rsid w:val="6ED10310"/>
    <w:rsid w:val="6F267DB4"/>
    <w:rsid w:val="6FBE1D83"/>
    <w:rsid w:val="704207D2"/>
    <w:rsid w:val="715447E2"/>
    <w:rsid w:val="723A6DC5"/>
    <w:rsid w:val="72C401F1"/>
    <w:rsid w:val="73276867"/>
    <w:rsid w:val="73384058"/>
    <w:rsid w:val="7387186A"/>
    <w:rsid w:val="751562E5"/>
    <w:rsid w:val="75913620"/>
    <w:rsid w:val="7611138F"/>
    <w:rsid w:val="76585514"/>
    <w:rsid w:val="78395658"/>
    <w:rsid w:val="7A777A29"/>
    <w:rsid w:val="7A882F19"/>
    <w:rsid w:val="7B3F5FAF"/>
    <w:rsid w:val="7B946EB8"/>
    <w:rsid w:val="7BBA02FD"/>
    <w:rsid w:val="7BEA24DC"/>
    <w:rsid w:val="7E790D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qFormat/>
    <w:uiPriority w:val="0"/>
    <w:pPr>
      <w:widowControl w:val="0"/>
      <w:spacing w:line="560" w:lineRule="exact"/>
      <w:ind w:firstLine="420" w:firstLineChars="200"/>
      <w:jc w:val="both"/>
    </w:pPr>
    <w:rPr>
      <w:rFonts w:ascii="Times New Roman" w:hAnsi="Times New Roman" w:eastAsia="宋体" w:cs="仿宋_GB2312"/>
      <w:kern w:val="2"/>
      <w:sz w:val="28"/>
      <w:szCs w:val="28"/>
      <w:lang w:val="en-US" w:eastAsia="zh-CN" w:bidi="ar-SA"/>
    </w:rPr>
  </w:style>
  <w:style w:type="paragraph" w:styleId="3">
    <w:name w:val="annotation text"/>
    <w:basedOn w:val="1"/>
    <w:qFormat/>
    <w:uiPriority w:val="0"/>
    <w:pPr>
      <w:jc w:val="left"/>
    </w:pPr>
  </w:style>
  <w:style w:type="paragraph" w:styleId="4">
    <w:name w:val="Body Text"/>
    <w:basedOn w:val="1"/>
    <w:qFormat/>
    <w:uiPriority w:val="0"/>
    <w:rPr>
      <w:rFonts w:ascii="仿宋" w:hAnsi="仿宋" w:eastAsia="仿宋" w:cs="仿宋"/>
      <w:sz w:val="31"/>
      <w:szCs w:val="31"/>
      <w:lang w:val="en-US" w:eastAsia="en-US"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unhideWhenUsed/>
    <w:qFormat/>
    <w:uiPriority w:val="99"/>
    <w:pPr>
      <w:spacing w:before="100" w:beforeAutospacing="1" w:after="100" w:afterAutospacing="1"/>
      <w:ind w:left="0" w:right="0"/>
      <w:jc w:val="left"/>
    </w:pPr>
    <w:rPr>
      <w:kern w:val="0"/>
      <w:sz w:val="24"/>
      <w:lang w:val="en-US" w:eastAsia="zh-CN" w:bidi="ar-SA"/>
    </w:rPr>
  </w:style>
  <w:style w:type="character" w:customStyle="1" w:styleId="10">
    <w:name w:val="font11"/>
    <w:basedOn w:val="9"/>
    <w:qFormat/>
    <w:uiPriority w:val="0"/>
    <w:rPr>
      <w:rFonts w:hint="eastAsia" w:ascii="宋体" w:hAnsi="宋体" w:eastAsia="宋体" w:cs="宋体"/>
      <w:color w:val="000000"/>
      <w:sz w:val="18"/>
      <w:szCs w:val="18"/>
      <w:u w:val="none"/>
    </w:rPr>
  </w:style>
  <w:style w:type="character" w:customStyle="1" w:styleId="11">
    <w:name w:val="font01"/>
    <w:basedOn w:val="9"/>
    <w:qFormat/>
    <w:uiPriority w:val="0"/>
    <w:rPr>
      <w:rFonts w:hint="eastAsia" w:ascii="宋体" w:hAnsi="宋体" w:eastAsia="宋体" w:cs="宋体"/>
      <w:color w:val="000000"/>
      <w:sz w:val="18"/>
      <w:szCs w:val="18"/>
      <w:u w:val="none"/>
    </w:rPr>
  </w:style>
  <w:style w:type="character" w:customStyle="1" w:styleId="12">
    <w:name w:val="font31"/>
    <w:basedOn w:val="9"/>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QRCB-W</cp:lastModifiedBy>
  <cp:lastPrinted>2025-02-07T06:34:00Z</cp:lastPrinted>
  <dcterms:modified xsi:type="dcterms:W3CDTF">2026-08-25T02:16:34Z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1C4E799DE3D94A73A25CF043F953EF32</vt:lpwstr>
  </property>
</Properties>
</file>