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PWMQ6B779TA0VHGRVR8YLJN7NLMO7GREU0XLJEDXFF8TEWT60BJQC0CFY9HPFRRBOMXSOL5ZH578LNJENFA0FFZ8RL0WMCB8JOD0HB37EBFBC8E556C1CDB1016CD4256F3F0A2" Type="http://schemas.microsoft.com/office/2006/relationships/officeDocumentMain"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80" w:lineRule="exact"/>
        <w:jc w:val="center"/>
        <w:rPr>
          <w:rFonts w:hint="eastAsia" w:ascii="方正小标宋简体" w:hAnsi="Arial" w:eastAsia="方正小标宋简体" w:cs="Arial"/>
          <w:color w:val="auto"/>
          <w:sz w:val="44"/>
          <w:szCs w:val="44"/>
        </w:rPr>
      </w:pPr>
      <w:r>
        <w:rPr>
          <w:rFonts w:hint="eastAsia" w:ascii="方正小标宋简体" w:hAnsi="Arial" w:eastAsia="方正小标宋简体" w:cs="Arial"/>
          <w:color w:val="auto"/>
          <w:sz w:val="44"/>
          <w:szCs w:val="44"/>
        </w:rPr>
        <w:t>青岛农商银行信用卡积分兑换规则</w:t>
      </w:r>
    </w:p>
    <w:p>
      <w:pPr>
        <w:pStyle w:val="7"/>
        <w:spacing w:before="0" w:beforeAutospacing="0" w:after="0" w:afterAutospacing="0" w:line="580" w:lineRule="exact"/>
        <w:rPr>
          <w:rFonts w:ascii="Arial" w:hAnsi="Arial" w:cs="Arial"/>
          <w:color w:val="auto"/>
          <w:sz w:val="18"/>
          <w:szCs w:val="18"/>
        </w:rPr>
      </w:pPr>
      <w:r>
        <w:rPr>
          <w:rFonts w:ascii="Arial" w:hAnsi="Arial" w:cs="Arial"/>
          <w:color w:val="auto"/>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青岛农商银行信用卡积分兑换活动是青岛农商银行推出的回馈信用卡持卡人的一项奖励活动。凡青岛农商银行信用卡持卡人持有效的信用卡进行签账消费，即可累积积分（本行另有规定的除外），累积的积分可用于兑换积分礼品等。</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p>
    <w:p>
      <w:pPr>
        <w:pStyle w:val="7"/>
        <w:spacing w:before="0" w:beforeAutospacing="0" w:after="0" w:afterAutospacing="0" w:line="580" w:lineRule="exact"/>
        <w:jc w:val="center"/>
        <w:rPr>
          <w:rFonts w:hint="eastAsia" w:cs="Arial"/>
          <w:b/>
          <w:bCs/>
          <w:color w:val="auto"/>
          <w:sz w:val="32"/>
          <w:szCs w:val="32"/>
        </w:rPr>
      </w:pPr>
      <w:r>
        <w:rPr>
          <w:rFonts w:hint="eastAsia" w:cs="Arial"/>
          <w:b/>
          <w:bCs/>
          <w:color w:val="auto"/>
          <w:sz w:val="32"/>
          <w:szCs w:val="32"/>
        </w:rPr>
        <w:t>第一条  积分活动的对象</w:t>
      </w:r>
    </w:p>
    <w:p>
      <w:pPr>
        <w:pStyle w:val="7"/>
        <w:spacing w:before="0" w:beforeAutospacing="0" w:after="0" w:afterAutospacing="0" w:line="580" w:lineRule="exact"/>
        <w:ind w:firstLine="627" w:firstLineChars="196"/>
        <w:jc w:val="center"/>
        <w:rPr>
          <w:rFonts w:hint="eastAsia" w:cs="Arial"/>
          <w:color w:val="auto"/>
          <w:sz w:val="32"/>
          <w:szCs w:val="32"/>
        </w:rPr>
      </w:pP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（一）积分活动的对象为青岛农商银行信用卡（含公务卡，下同）持卡人</w:t>
      </w:r>
      <w:r>
        <w:rPr>
          <w:rFonts w:hint="eastAsia" w:ascii="仿宋_GB2312" w:hAnsi="Arial" w:eastAsia="仿宋_GB2312" w:cs="Arial"/>
          <w:color w:val="auto"/>
          <w:sz w:val="32"/>
          <w:szCs w:val="32"/>
          <w:lang w:val="en-US" w:eastAsia="zh-CN"/>
        </w:rPr>
        <w:t>，大额分期类卡片暂不享受积分活动。</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（二）凡有以下情形之一的，不参加积分活动：</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1.信用卡被注销或停用；</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2.信用卡被止付；</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3.信用卡持卡人违反《青岛农商银行信用卡领用合约》、《青岛农商银行信用卡章程》；</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4.经我行核实在套用非标准扣率的银联POS商户交易所产生积分；</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Arial" w:hAnsi="Arial" w:eastAsia="仿宋_GB2312" w:cs="Arial"/>
          <w:color w:val="auto"/>
          <w:sz w:val="32"/>
          <w:szCs w:val="32"/>
        </w:rPr>
      </w:pPr>
      <w:r>
        <w:rPr>
          <w:rFonts w:hint="eastAsia" w:ascii="仿宋_GB2312" w:hAnsi="Arial" w:eastAsia="仿宋_GB2312" w:cs="Arial"/>
          <w:color w:val="auto"/>
          <w:sz w:val="32"/>
          <w:szCs w:val="32"/>
        </w:rPr>
        <w:t>5.本行独立判断认为，持卡人的特定刷卡消费为恶意或伪造非真实交易骗取积分的；</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lang w:val="en-US" w:eastAsia="zh-CN"/>
        </w:rPr>
      </w:pPr>
      <w:r>
        <w:rPr>
          <w:rFonts w:hint="eastAsia" w:ascii="仿宋_GB2312" w:hAnsi="Arial" w:eastAsia="仿宋_GB2312" w:cs="Arial"/>
          <w:color w:val="auto"/>
          <w:sz w:val="32"/>
          <w:szCs w:val="32"/>
          <w:lang w:val="en-US" w:eastAsia="zh-CN"/>
        </w:rPr>
        <w:t>6.</w:t>
      </w:r>
      <w:r>
        <w:rPr>
          <w:rFonts w:hint="eastAsia" w:ascii="仿宋_GB2312" w:hAnsi="Arial" w:eastAsia="仿宋_GB2312" w:cs="Arial"/>
          <w:color w:val="auto"/>
          <w:sz w:val="32"/>
          <w:szCs w:val="32"/>
          <w:lang w:eastAsia="zh-CN"/>
        </w:rPr>
        <w:t>与本行</w:t>
      </w:r>
      <w:r>
        <w:rPr>
          <w:rFonts w:hint="eastAsia" w:ascii="仿宋_GB2312" w:hAnsi="Arial" w:eastAsia="仿宋_GB2312" w:cs="Arial"/>
          <w:color w:val="auto"/>
          <w:sz w:val="32"/>
          <w:szCs w:val="32"/>
        </w:rPr>
        <w:t>之间的其它</w:t>
      </w:r>
      <w:bookmarkStart w:id="0" w:name="_GoBack"/>
      <w:bookmarkEnd w:id="0"/>
      <w:r>
        <w:rPr>
          <w:rFonts w:hint="eastAsia" w:ascii="仿宋_GB2312" w:hAnsi="Arial" w:eastAsia="仿宋_GB2312" w:cs="Arial"/>
          <w:color w:val="auto"/>
          <w:sz w:val="32"/>
          <w:szCs w:val="32"/>
        </w:rPr>
        <w:t>协议项下发生违约事件</w:t>
      </w:r>
      <w:r>
        <w:rPr>
          <w:rFonts w:hint="eastAsia" w:ascii="仿宋_GB2312" w:hAnsi="Arial" w:eastAsia="仿宋_GB2312" w:cs="Arial"/>
          <w:color w:val="auto"/>
          <w:sz w:val="32"/>
          <w:szCs w:val="32"/>
          <w:lang w:val="en-US"/>
        </w:rPr>
        <w:t>;</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default" w:ascii="仿宋_GB2312" w:hAnsi="Arial" w:eastAsia="仿宋_GB2312" w:cs="Arial"/>
          <w:color w:val="auto"/>
          <w:sz w:val="32"/>
          <w:szCs w:val="32"/>
          <w:lang w:val="en-US" w:eastAsia="zh-CN"/>
        </w:rPr>
        <w:t>7</w:t>
      </w:r>
      <w:r>
        <w:rPr>
          <w:rFonts w:hint="eastAsia" w:ascii="仿宋_GB2312" w:hAnsi="Arial" w:eastAsia="仿宋_GB2312" w:cs="Arial"/>
          <w:color w:val="auto"/>
          <w:sz w:val="32"/>
          <w:szCs w:val="32"/>
        </w:rPr>
        <w:t>.我行规定的其他情形。</w:t>
      </w:r>
    </w:p>
    <w:p>
      <w:pPr>
        <w:pStyle w:val="7"/>
        <w:spacing w:before="0" w:beforeAutospacing="0" w:after="0" w:afterAutospacing="0" w:line="580" w:lineRule="exact"/>
        <w:ind w:firstLine="630" w:firstLineChars="196"/>
        <w:jc w:val="center"/>
        <w:rPr>
          <w:rFonts w:hint="eastAsia" w:cs="Arial"/>
          <w:b/>
          <w:bCs/>
          <w:color w:val="auto"/>
          <w:sz w:val="32"/>
          <w:szCs w:val="32"/>
        </w:rPr>
      </w:pPr>
    </w:p>
    <w:p>
      <w:pPr>
        <w:pStyle w:val="7"/>
        <w:spacing w:before="0" w:beforeAutospacing="0" w:after="0" w:afterAutospacing="0" w:line="580" w:lineRule="exact"/>
        <w:jc w:val="center"/>
        <w:rPr>
          <w:rFonts w:hint="eastAsia" w:cs="Arial"/>
          <w:b/>
          <w:bCs/>
          <w:color w:val="auto"/>
          <w:sz w:val="32"/>
          <w:szCs w:val="32"/>
        </w:rPr>
      </w:pPr>
      <w:r>
        <w:rPr>
          <w:rFonts w:hint="eastAsia" w:cs="Arial"/>
          <w:b/>
          <w:bCs/>
          <w:color w:val="auto"/>
          <w:sz w:val="32"/>
          <w:szCs w:val="32"/>
        </w:rPr>
        <w:t>第二条  积分的计算和累积办法</w:t>
      </w:r>
    </w:p>
    <w:p>
      <w:pPr>
        <w:pStyle w:val="7"/>
        <w:spacing w:before="0" w:beforeAutospacing="0" w:after="0" w:afterAutospacing="0" w:line="580" w:lineRule="exact"/>
        <w:ind w:firstLine="627" w:firstLineChars="196"/>
        <w:jc w:val="center"/>
        <w:rPr>
          <w:rFonts w:hint="eastAsia" w:cs="Arial"/>
          <w:color w:val="auto"/>
          <w:sz w:val="32"/>
          <w:szCs w:val="32"/>
        </w:rPr>
      </w:pP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（一）凡持卡人持有效的青岛农商银行信用卡每消费人民币1元兑换1积分（公务卡每消费人民币1元兑换1.1积分）,不足1积分按四舍五入计算。</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（二）持卡人持有效的青岛农商银行信用卡在</w:t>
      </w:r>
      <w:r>
        <w:rPr>
          <w:rFonts w:hint="eastAsia" w:ascii="仿宋_GB2312" w:hAnsi="Arial" w:eastAsia="仿宋_GB2312" w:cs="Arial"/>
          <w:color w:val="auto"/>
          <w:sz w:val="32"/>
          <w:szCs w:val="32"/>
          <w:lang w:val="en-US" w:eastAsia="zh-CN"/>
        </w:rPr>
        <w:t>以下</w:t>
      </w:r>
      <w:r>
        <w:rPr>
          <w:rFonts w:hint="eastAsia" w:ascii="仿宋_GB2312" w:hAnsi="Arial" w:eastAsia="仿宋_GB2312" w:cs="Arial"/>
          <w:color w:val="auto"/>
          <w:sz w:val="32"/>
          <w:szCs w:val="32"/>
        </w:rPr>
        <w:t>商户消费不积分。商户类别及MCC代码见下表。</w:t>
      </w:r>
    </w:p>
    <w:p>
      <w:pPr>
        <w:pStyle w:val="7"/>
        <w:spacing w:before="0" w:beforeAutospacing="0" w:after="0" w:afterAutospacing="0" w:line="240" w:lineRule="auto"/>
        <w:rPr>
          <w:rFonts w:hint="eastAsia" w:ascii="仿宋_GB2312" w:hAnsi="Arial" w:eastAsia="仿宋_GB2312" w:cs="Arial"/>
          <w:color w:val="auto"/>
          <w:sz w:val="32"/>
          <w:szCs w:val="32"/>
          <w:lang w:eastAsia="zh-CN"/>
        </w:rPr>
      </w:pPr>
      <w:r>
        <w:rPr>
          <w:rFonts w:hint="eastAsia" w:ascii="仿宋_GB2312" w:hAnsi="Arial" w:eastAsia="仿宋_GB2312" w:cs="Arial"/>
          <w:color w:val="auto"/>
          <w:sz w:val="32"/>
          <w:szCs w:val="32"/>
          <w:lang w:eastAsia="zh-CN"/>
        </w:rPr>
        <w:drawing>
          <wp:inline distT="0" distB="0" distL="114300" distR="114300">
            <wp:extent cx="5615305" cy="3559810"/>
            <wp:effectExtent l="0" t="0" r="8255" b="6350"/>
            <wp:docPr id="1" name="图片 1" descr="1不积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不积分"/>
                    <pic:cNvPicPr>
                      <a:picLocks noChangeAspect="1"/>
                    </pic:cNvPicPr>
                  </pic:nvPicPr>
                  <pic:blipFill>
                    <a:blip r:embed="rId6"/>
                    <a:stretch>
                      <a:fillRect/>
                    </a:stretch>
                  </pic:blipFill>
                  <pic:spPr>
                    <a:xfrm>
                      <a:off x="0" y="0"/>
                      <a:ext cx="5615305" cy="3559810"/>
                    </a:xfrm>
                    <a:prstGeom prst="rect">
                      <a:avLst/>
                    </a:prstGeom>
                    <a:noFill/>
                    <a:ln>
                      <a:noFill/>
                    </a:ln>
                  </pic:spPr>
                </pic:pic>
              </a:graphicData>
            </a:graphic>
          </wp:inline>
        </w:drawing>
      </w:r>
    </w:p>
    <w:p>
      <w:pPr>
        <w:pStyle w:val="7"/>
        <w:spacing w:before="0" w:beforeAutospacing="0" w:after="0" w:afterAutospacing="0" w:line="240" w:lineRule="auto"/>
        <w:rPr>
          <w:rFonts w:hint="eastAsia" w:ascii="仿宋_GB2312" w:hAnsi="Arial" w:eastAsia="仿宋_GB2312" w:cs="Arial"/>
          <w:color w:val="auto"/>
          <w:sz w:val="32"/>
          <w:szCs w:val="32"/>
          <w:lang w:eastAsia="zh-CN"/>
        </w:rPr>
      </w:pPr>
      <w:r>
        <w:rPr>
          <w:rFonts w:hint="eastAsia" w:ascii="仿宋_GB2312" w:hAnsi="Arial" w:eastAsia="仿宋_GB2312" w:cs="Arial"/>
          <w:color w:val="auto"/>
          <w:sz w:val="32"/>
          <w:szCs w:val="32"/>
          <w:lang w:eastAsia="zh-CN"/>
        </w:rPr>
        <w:drawing>
          <wp:inline distT="0" distB="0" distL="114300" distR="114300">
            <wp:extent cx="5615940" cy="3733165"/>
            <wp:effectExtent l="0" t="0" r="7620" b="63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7"/>
                    <a:stretch>
                      <a:fillRect/>
                    </a:stretch>
                  </pic:blipFill>
                  <pic:spPr>
                    <a:xfrm>
                      <a:off x="0" y="0"/>
                      <a:ext cx="5615940" cy="3733165"/>
                    </a:xfrm>
                    <a:prstGeom prst="rect">
                      <a:avLst/>
                    </a:prstGeom>
                    <a:noFill/>
                    <a:ln>
                      <a:noFill/>
                    </a:ln>
                  </pic:spPr>
                </pic:pic>
              </a:graphicData>
            </a:graphic>
          </wp:inline>
        </w:drawing>
      </w:r>
    </w:p>
    <w:p>
      <w:pPr>
        <w:pStyle w:val="7"/>
        <w:spacing w:before="0" w:beforeAutospacing="0" w:after="0" w:afterAutospacing="0" w:line="580" w:lineRule="exact"/>
        <w:rPr>
          <w:rFonts w:hint="eastAsia" w:ascii="仿宋_GB2312" w:hAnsi="Arial" w:eastAsia="仿宋_GB2312" w:cs="Arial"/>
          <w:color w:val="auto"/>
          <w:sz w:val="32"/>
          <w:szCs w:val="32"/>
        </w:rPr>
      </w:pPr>
    </w:p>
    <w:p>
      <w:pPr>
        <w:pStyle w:val="7"/>
        <w:spacing w:before="0" w:beforeAutospacing="0" w:after="0" w:afterAutospacing="0" w:line="580" w:lineRule="exact"/>
        <w:ind w:firstLine="640" w:firstLineChars="200"/>
        <w:rPr>
          <w:rFonts w:hint="default" w:ascii="仿宋_GB2312" w:hAnsi="Arial" w:eastAsia="仿宋_GB2312" w:cs="Arial"/>
          <w:color w:val="auto"/>
          <w:sz w:val="32"/>
          <w:szCs w:val="32"/>
          <w:lang w:val="en-US" w:eastAsia="zh-CN"/>
        </w:rPr>
      </w:pPr>
      <w:r>
        <w:rPr>
          <w:rFonts w:hint="eastAsia" w:ascii="仿宋_GB2312" w:hAnsi="Arial" w:eastAsia="仿宋_GB2312" w:cs="Arial"/>
          <w:color w:val="auto"/>
          <w:sz w:val="32"/>
          <w:szCs w:val="32"/>
          <w:lang w:eastAsia="zh-CN"/>
        </w:rPr>
        <w:t>（三）持卡人持</w:t>
      </w:r>
      <w:r>
        <w:rPr>
          <w:rFonts w:hint="eastAsia" w:ascii="仿宋_GB2312" w:hAnsi="Arial" w:eastAsia="仿宋_GB2312" w:cs="Arial"/>
          <w:color w:val="auto"/>
          <w:sz w:val="32"/>
          <w:szCs w:val="32"/>
        </w:rPr>
        <w:t>有效的</w:t>
      </w:r>
      <w:r>
        <w:rPr>
          <w:rFonts w:hint="eastAsia" w:ascii="仿宋_GB2312" w:hAnsi="Arial" w:eastAsia="仿宋_GB2312" w:cs="Arial"/>
          <w:color w:val="auto"/>
          <w:sz w:val="32"/>
          <w:szCs w:val="32"/>
          <w:lang w:eastAsia="zh-CN"/>
        </w:rPr>
        <w:t>“乡村振兴”信用卡在涉农类商户消费享双倍积分。涉农类</w:t>
      </w:r>
      <w:r>
        <w:rPr>
          <w:rFonts w:hint="eastAsia" w:ascii="仿宋_GB2312" w:hAnsi="Arial" w:eastAsia="仿宋_GB2312" w:cs="Arial"/>
          <w:color w:val="auto"/>
          <w:sz w:val="32"/>
          <w:szCs w:val="32"/>
          <w:lang w:val="en-US" w:eastAsia="zh-CN"/>
        </w:rPr>
        <w:t>MCC代码见下表。</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948"/>
        <w:gridCol w:w="2790"/>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60" w:type="dxa"/>
            <w:gridSpan w:val="4"/>
            <w:noWrap w:val="0"/>
            <w:vAlign w:val="center"/>
          </w:tcPr>
          <w:p>
            <w:pPr>
              <w:pStyle w:val="7"/>
              <w:spacing w:before="0" w:beforeAutospacing="0" w:after="0" w:afterAutospacing="0" w:line="580" w:lineRule="exact"/>
              <w:jc w:val="center"/>
              <w:rPr>
                <w:rFonts w:hint="default" w:ascii="Arial" w:hAnsi="Arial" w:eastAsia="仿宋_GB2312" w:cs="Arial"/>
                <w:b w:val="0"/>
                <w:bCs w:val="0"/>
                <w:color w:val="auto"/>
                <w:sz w:val="21"/>
                <w:szCs w:val="21"/>
                <w:vertAlign w:val="baseline"/>
                <w:lang w:val="en-US" w:eastAsia="zh-CN"/>
              </w:rPr>
            </w:pPr>
            <w:r>
              <w:rPr>
                <w:rFonts w:hint="eastAsia" w:ascii="黑体" w:hAnsi="黑体" w:eastAsia="黑体" w:cs="黑体"/>
                <w:b w:val="0"/>
                <w:bCs w:val="0"/>
                <w:color w:val="auto"/>
                <w:sz w:val="28"/>
                <w:szCs w:val="28"/>
                <w:lang w:eastAsia="zh-CN"/>
              </w:rPr>
              <w:t>涉农类</w:t>
            </w:r>
            <w:r>
              <w:rPr>
                <w:rFonts w:hint="eastAsia" w:ascii="黑体" w:hAnsi="黑体" w:eastAsia="黑体" w:cs="黑体"/>
                <w:b w:val="0"/>
                <w:bCs w:val="0"/>
                <w:color w:val="auto"/>
                <w:sz w:val="28"/>
                <w:szCs w:val="28"/>
                <w:lang w:val="en-US" w:eastAsia="zh-CN"/>
              </w:rPr>
              <w:t>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2580" w:type="dxa"/>
            <w:noWrap w:val="0"/>
            <w:vAlign w:val="center"/>
          </w:tcPr>
          <w:p>
            <w:pPr>
              <w:pStyle w:val="7"/>
              <w:spacing w:before="0" w:beforeAutospacing="0" w:after="0" w:afterAutospacing="0" w:line="580" w:lineRule="exact"/>
              <w:jc w:val="center"/>
              <w:rPr>
                <w:rFonts w:hint="eastAsia" w:ascii="黑体" w:hAnsi="黑体" w:eastAsia="黑体" w:cs="黑体"/>
                <w:b w:val="0"/>
                <w:bCs w:val="0"/>
                <w:color w:val="auto"/>
                <w:kern w:val="0"/>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商户类别</w:t>
            </w:r>
          </w:p>
        </w:tc>
        <w:tc>
          <w:tcPr>
            <w:tcW w:w="1948" w:type="dxa"/>
            <w:noWrap w:val="0"/>
            <w:vAlign w:val="center"/>
          </w:tcPr>
          <w:p>
            <w:pPr>
              <w:pStyle w:val="7"/>
              <w:spacing w:before="0" w:beforeAutospacing="0" w:after="0" w:afterAutospacing="0" w:line="580" w:lineRule="exact"/>
              <w:jc w:val="center"/>
              <w:rPr>
                <w:rFonts w:hint="eastAsia" w:ascii="黑体" w:hAnsi="黑体" w:eastAsia="黑体" w:cs="黑体"/>
                <w:b w:val="0"/>
                <w:bCs w:val="0"/>
                <w:color w:val="auto"/>
                <w:kern w:val="0"/>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MCC</w:t>
            </w:r>
          </w:p>
        </w:tc>
        <w:tc>
          <w:tcPr>
            <w:tcW w:w="2790" w:type="dxa"/>
            <w:noWrap w:val="0"/>
            <w:vAlign w:val="center"/>
          </w:tcPr>
          <w:p>
            <w:pPr>
              <w:pStyle w:val="7"/>
              <w:spacing w:before="0" w:beforeAutospacing="0" w:after="0" w:afterAutospacing="0" w:line="580" w:lineRule="exact"/>
              <w:jc w:val="center"/>
              <w:rPr>
                <w:rFonts w:hint="eastAsia" w:ascii="黑体" w:hAnsi="黑体" w:eastAsia="黑体" w:cs="黑体"/>
                <w:b w:val="0"/>
                <w:bCs w:val="0"/>
                <w:color w:val="auto"/>
                <w:kern w:val="0"/>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商户类别</w:t>
            </w:r>
          </w:p>
        </w:tc>
        <w:tc>
          <w:tcPr>
            <w:tcW w:w="1742" w:type="dxa"/>
            <w:noWrap w:val="0"/>
            <w:vAlign w:val="center"/>
          </w:tcPr>
          <w:p>
            <w:pPr>
              <w:pStyle w:val="7"/>
              <w:spacing w:before="0" w:beforeAutospacing="0" w:after="0" w:afterAutospacing="0" w:line="580" w:lineRule="exact"/>
              <w:jc w:val="center"/>
              <w:rPr>
                <w:rFonts w:hint="eastAsia" w:ascii="黑体" w:hAnsi="黑体" w:eastAsia="黑体" w:cs="黑体"/>
                <w:b w:val="0"/>
                <w:bCs w:val="0"/>
                <w:color w:val="auto"/>
                <w:kern w:val="0"/>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580" w:type="dxa"/>
            <w:noWrap w:val="0"/>
            <w:vAlign w:val="top"/>
          </w:tcPr>
          <w:p>
            <w:pPr>
              <w:pStyle w:val="7"/>
              <w:spacing w:before="0" w:beforeAutospacing="0" w:after="0" w:afterAutospacing="0" w:line="580" w:lineRule="exact"/>
              <w:jc w:val="both"/>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农业合作</w:t>
            </w:r>
          </w:p>
        </w:tc>
        <w:tc>
          <w:tcPr>
            <w:tcW w:w="1948" w:type="dxa"/>
            <w:noWrap w:val="0"/>
            <w:vAlign w:val="center"/>
          </w:tcPr>
          <w:p>
            <w:pPr>
              <w:pStyle w:val="7"/>
              <w:spacing w:before="0" w:beforeAutospacing="0" w:after="0" w:afterAutospacing="0" w:line="580" w:lineRule="exact"/>
              <w:jc w:val="center"/>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0763</w:t>
            </w:r>
          </w:p>
        </w:tc>
        <w:tc>
          <w:tcPr>
            <w:tcW w:w="2790" w:type="dxa"/>
            <w:noWrap w:val="0"/>
            <w:vAlign w:val="top"/>
          </w:tcPr>
          <w:p>
            <w:pPr>
              <w:pStyle w:val="7"/>
              <w:spacing w:before="0" w:beforeAutospacing="0" w:after="0" w:afterAutospacing="0" w:line="580" w:lineRule="exact"/>
              <w:jc w:val="both"/>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草坪、园艺用品商店</w:t>
            </w:r>
          </w:p>
        </w:tc>
        <w:tc>
          <w:tcPr>
            <w:tcW w:w="1742" w:type="dxa"/>
            <w:noWrap w:val="0"/>
            <w:vAlign w:val="center"/>
          </w:tcPr>
          <w:p>
            <w:pPr>
              <w:pStyle w:val="7"/>
              <w:spacing w:before="0" w:beforeAutospacing="0" w:after="0" w:afterAutospacing="0" w:line="580" w:lineRule="exact"/>
              <w:jc w:val="center"/>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5261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2580" w:type="dxa"/>
            <w:noWrap w:val="0"/>
            <w:vAlign w:val="top"/>
          </w:tcPr>
          <w:p>
            <w:pPr>
              <w:pStyle w:val="7"/>
              <w:spacing w:before="0" w:beforeAutospacing="0" w:after="0" w:afterAutospacing="0" w:line="580" w:lineRule="exact"/>
              <w:jc w:val="both"/>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景观美化及园艺服务</w:t>
            </w:r>
          </w:p>
        </w:tc>
        <w:tc>
          <w:tcPr>
            <w:tcW w:w="1948" w:type="dxa"/>
            <w:noWrap w:val="0"/>
            <w:vAlign w:val="center"/>
          </w:tcPr>
          <w:p>
            <w:pPr>
              <w:pStyle w:val="7"/>
              <w:spacing w:before="0" w:beforeAutospacing="0" w:after="0" w:afterAutospacing="0" w:line="580" w:lineRule="exact"/>
              <w:jc w:val="center"/>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0780</w:t>
            </w:r>
          </w:p>
        </w:tc>
        <w:tc>
          <w:tcPr>
            <w:tcW w:w="2790" w:type="dxa"/>
            <w:noWrap w:val="0"/>
            <w:vAlign w:val="top"/>
          </w:tcPr>
          <w:p>
            <w:pPr>
              <w:pStyle w:val="7"/>
              <w:spacing w:before="0" w:beforeAutospacing="0" w:after="0" w:afterAutospacing="0" w:line="580" w:lineRule="exact"/>
              <w:jc w:val="both"/>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未列入其他代码的机动车、飞行器、农业机械经销商</w:t>
            </w:r>
          </w:p>
        </w:tc>
        <w:tc>
          <w:tcPr>
            <w:tcW w:w="1742" w:type="dxa"/>
            <w:noWrap w:val="0"/>
            <w:vAlign w:val="center"/>
          </w:tcPr>
          <w:p>
            <w:pPr>
              <w:pStyle w:val="7"/>
              <w:spacing w:before="0" w:beforeAutospacing="0" w:after="0" w:afterAutospacing="0" w:line="580" w:lineRule="exact"/>
              <w:jc w:val="center"/>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5599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0" w:type="dxa"/>
            <w:noWrap w:val="0"/>
            <w:vAlign w:val="top"/>
          </w:tcPr>
          <w:p>
            <w:pPr>
              <w:pStyle w:val="7"/>
              <w:spacing w:before="0" w:beforeAutospacing="0" w:after="0" w:afterAutospacing="0" w:line="580" w:lineRule="exact"/>
              <w:jc w:val="both"/>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机动车、农机零配件批发</w:t>
            </w:r>
          </w:p>
        </w:tc>
        <w:tc>
          <w:tcPr>
            <w:tcW w:w="1948" w:type="dxa"/>
            <w:noWrap w:val="0"/>
            <w:vAlign w:val="center"/>
          </w:tcPr>
          <w:p>
            <w:pPr>
              <w:pStyle w:val="7"/>
              <w:spacing w:before="0" w:beforeAutospacing="0" w:after="0" w:afterAutospacing="0" w:line="580" w:lineRule="exact"/>
              <w:jc w:val="center"/>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5013</w:t>
            </w:r>
          </w:p>
        </w:tc>
        <w:tc>
          <w:tcPr>
            <w:tcW w:w="2790" w:type="dxa"/>
            <w:noWrap w:val="0"/>
            <w:vAlign w:val="top"/>
          </w:tcPr>
          <w:p>
            <w:pPr>
              <w:pStyle w:val="7"/>
              <w:spacing w:before="0" w:beforeAutospacing="0" w:after="0" w:afterAutospacing="0" w:line="580" w:lineRule="exact"/>
              <w:jc w:val="both"/>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灭虫及消毒服务</w:t>
            </w:r>
          </w:p>
        </w:tc>
        <w:tc>
          <w:tcPr>
            <w:tcW w:w="1742" w:type="dxa"/>
            <w:noWrap w:val="0"/>
            <w:vAlign w:val="center"/>
          </w:tcPr>
          <w:p>
            <w:pPr>
              <w:pStyle w:val="7"/>
              <w:spacing w:before="0" w:beforeAutospacing="0" w:after="0" w:afterAutospacing="0" w:line="580" w:lineRule="exact"/>
              <w:jc w:val="center"/>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7342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2580" w:type="dxa"/>
            <w:noWrap w:val="0"/>
            <w:vAlign w:val="top"/>
          </w:tcPr>
          <w:p>
            <w:pPr>
              <w:pStyle w:val="7"/>
              <w:spacing w:before="0" w:beforeAutospacing="0" w:after="0" w:afterAutospacing="0" w:line="580" w:lineRule="exact"/>
              <w:jc w:val="both"/>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花卉苗木批发</w:t>
            </w:r>
          </w:p>
        </w:tc>
        <w:tc>
          <w:tcPr>
            <w:tcW w:w="1948" w:type="dxa"/>
            <w:noWrap w:val="0"/>
            <w:vAlign w:val="center"/>
          </w:tcPr>
          <w:p>
            <w:pPr>
              <w:pStyle w:val="7"/>
              <w:spacing w:before="0" w:beforeAutospacing="0" w:after="0" w:afterAutospacing="0" w:line="580" w:lineRule="exact"/>
              <w:jc w:val="center"/>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5193</w:t>
            </w:r>
          </w:p>
        </w:tc>
        <w:tc>
          <w:tcPr>
            <w:tcW w:w="2790" w:type="dxa"/>
            <w:noWrap w:val="0"/>
            <w:vAlign w:val="top"/>
          </w:tcPr>
          <w:p>
            <w:pPr>
              <w:pStyle w:val="7"/>
              <w:spacing w:before="0" w:beforeAutospacing="0" w:after="0" w:afterAutospacing="0" w:line="580" w:lineRule="exact"/>
              <w:jc w:val="both"/>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卡车、拖车与农机出租</w:t>
            </w:r>
          </w:p>
        </w:tc>
        <w:tc>
          <w:tcPr>
            <w:tcW w:w="1742" w:type="dxa"/>
            <w:noWrap w:val="0"/>
            <w:vAlign w:val="center"/>
          </w:tcPr>
          <w:p>
            <w:pPr>
              <w:pStyle w:val="7"/>
              <w:spacing w:before="0" w:beforeAutospacing="0" w:after="0" w:afterAutospacing="0" w:line="580" w:lineRule="exact"/>
              <w:jc w:val="center"/>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7513</w:t>
            </w:r>
          </w:p>
        </w:tc>
      </w:tr>
    </w:tbl>
    <w:p>
      <w:pPr>
        <w:pStyle w:val="7"/>
        <w:numPr>
          <w:ilvl w:val="0"/>
          <w:numId w:val="0"/>
        </w:numPr>
        <w:spacing w:before="0" w:beforeAutospacing="0" w:after="0" w:afterAutospacing="0" w:line="580" w:lineRule="exact"/>
        <w:rPr>
          <w:rFonts w:hint="eastAsia" w:ascii="仿宋_GB2312" w:hAnsi="Arial" w:eastAsia="仿宋_GB2312" w:cs="Arial"/>
          <w:b/>
          <w:bCs/>
          <w:color w:val="auto"/>
          <w:sz w:val="32"/>
          <w:szCs w:val="32"/>
          <w:lang w:eastAsia="zh-CN"/>
        </w:rPr>
      </w:pPr>
    </w:p>
    <w:p>
      <w:pPr>
        <w:pStyle w:val="7"/>
        <w:spacing w:before="0" w:beforeAutospacing="0" w:after="0" w:afterAutospacing="0" w:line="580" w:lineRule="exact"/>
        <w:ind w:firstLine="630" w:firstLineChars="196"/>
        <w:rPr>
          <w:rFonts w:hint="eastAsia" w:ascii="仿宋_GB2312" w:hAnsi="Arial" w:eastAsia="仿宋_GB2312" w:cs="Arial"/>
          <w:color w:val="auto"/>
          <w:sz w:val="32"/>
          <w:szCs w:val="32"/>
        </w:rPr>
      </w:pPr>
      <w:r>
        <w:rPr>
          <w:rFonts w:hint="eastAsia" w:ascii="仿宋_GB2312" w:hAnsi="Arial" w:eastAsia="仿宋_GB2312" w:cs="Arial"/>
          <w:b/>
          <w:bCs/>
          <w:color w:val="auto"/>
          <w:sz w:val="32"/>
          <w:szCs w:val="32"/>
        </w:rPr>
        <w:t>注：</w:t>
      </w:r>
    </w:p>
    <w:p>
      <w:pPr>
        <w:pStyle w:val="7"/>
        <w:spacing w:before="0" w:beforeAutospacing="0" w:after="0" w:afterAutospacing="0" w:line="580" w:lineRule="exact"/>
        <w:ind w:firstLine="630" w:firstLineChars="196"/>
        <w:rPr>
          <w:rFonts w:hint="eastAsia" w:ascii="仿宋_GB2312" w:hAnsi="Arial" w:eastAsia="仿宋_GB2312" w:cs="Arial"/>
          <w:color w:val="auto"/>
          <w:sz w:val="32"/>
          <w:szCs w:val="32"/>
        </w:rPr>
      </w:pPr>
      <w:r>
        <w:rPr>
          <w:rFonts w:hint="eastAsia" w:ascii="仿宋_GB2312" w:hAnsi="Arial" w:eastAsia="仿宋_GB2312" w:cs="Arial"/>
          <w:b/>
          <w:bCs/>
          <w:color w:val="auto"/>
          <w:sz w:val="32"/>
          <w:szCs w:val="32"/>
        </w:rPr>
        <w:t>1.凡属于上述商户类别的消费交易，均按相应的积分规则进行卡积分累计。</w:t>
      </w:r>
    </w:p>
    <w:p>
      <w:pPr>
        <w:pStyle w:val="7"/>
        <w:spacing w:before="0" w:beforeAutospacing="0" w:after="0" w:afterAutospacing="0" w:line="580" w:lineRule="exact"/>
        <w:ind w:firstLine="630" w:firstLineChars="196"/>
        <w:rPr>
          <w:rFonts w:hint="eastAsia" w:ascii="仿宋_GB2312" w:hAnsi="Arial" w:eastAsia="仿宋_GB2312" w:cs="Arial"/>
          <w:color w:val="auto"/>
          <w:sz w:val="32"/>
          <w:szCs w:val="32"/>
        </w:rPr>
      </w:pPr>
      <w:r>
        <w:rPr>
          <w:rFonts w:hint="eastAsia" w:ascii="仿宋_GB2312" w:hAnsi="Arial" w:eastAsia="仿宋_GB2312" w:cs="Arial"/>
          <w:b/>
          <w:bCs/>
          <w:color w:val="auto"/>
          <w:sz w:val="32"/>
          <w:szCs w:val="32"/>
        </w:rPr>
        <w:t>2.所列商户类别参考中国银联相关规范并随之调整，持卡人可通过签购单上所列商户代码8-11位识别。</w:t>
      </w:r>
    </w:p>
    <w:p>
      <w:pPr>
        <w:pStyle w:val="7"/>
        <w:spacing w:before="0" w:beforeAutospacing="0" w:after="0" w:afterAutospacing="0" w:line="580" w:lineRule="exact"/>
        <w:ind w:firstLine="630" w:firstLineChars="196"/>
        <w:rPr>
          <w:rFonts w:hint="eastAsia" w:ascii="仿宋_GB2312" w:hAnsi="Arial" w:eastAsia="仿宋_GB2312" w:cs="Arial"/>
          <w:color w:val="auto"/>
          <w:sz w:val="32"/>
          <w:szCs w:val="32"/>
        </w:rPr>
      </w:pPr>
      <w:r>
        <w:rPr>
          <w:rFonts w:hint="eastAsia" w:ascii="仿宋_GB2312" w:hAnsi="Arial" w:eastAsia="仿宋_GB2312" w:cs="Arial"/>
          <w:b/>
          <w:bCs/>
          <w:color w:val="auto"/>
          <w:sz w:val="32"/>
          <w:szCs w:val="32"/>
        </w:rPr>
        <w:t>3.商户类别以商户POS机设定的商户类别码为准，详情请咨询特约商户及收单机构；</w:t>
      </w:r>
    </w:p>
    <w:p>
      <w:pPr>
        <w:pStyle w:val="7"/>
        <w:spacing w:before="0" w:beforeAutospacing="0" w:after="0" w:afterAutospacing="0" w:line="580" w:lineRule="exact"/>
        <w:ind w:firstLine="630" w:firstLineChars="196"/>
        <w:rPr>
          <w:rFonts w:hint="eastAsia" w:ascii="仿宋_GB2312" w:hAnsi="Arial" w:eastAsia="仿宋_GB2312" w:cs="Arial"/>
          <w:b/>
          <w:bCs/>
          <w:color w:val="auto"/>
          <w:sz w:val="32"/>
          <w:szCs w:val="32"/>
        </w:rPr>
      </w:pPr>
      <w:r>
        <w:rPr>
          <w:rFonts w:hint="eastAsia" w:ascii="仿宋_GB2312" w:hAnsi="Arial" w:eastAsia="仿宋_GB2312" w:cs="Arial"/>
          <w:b/>
          <w:bCs/>
          <w:color w:val="auto"/>
          <w:sz w:val="32"/>
          <w:szCs w:val="32"/>
        </w:rPr>
        <w:t>4.如因收单行或商户错误使用商户类别代码而影响积分累积的，青岛农商银行不承担相关责任。</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w:t>
      </w:r>
      <w:r>
        <w:rPr>
          <w:rFonts w:hint="eastAsia" w:ascii="仿宋_GB2312" w:hAnsi="Arial" w:eastAsia="仿宋_GB2312" w:cs="Arial"/>
          <w:color w:val="auto"/>
          <w:sz w:val="32"/>
          <w:szCs w:val="32"/>
          <w:lang w:eastAsia="zh-CN"/>
        </w:rPr>
        <w:t>四</w:t>
      </w:r>
      <w:r>
        <w:rPr>
          <w:rFonts w:hint="eastAsia" w:ascii="仿宋_GB2312" w:hAnsi="Arial" w:eastAsia="仿宋_GB2312" w:cs="Arial"/>
          <w:color w:val="auto"/>
          <w:sz w:val="32"/>
          <w:szCs w:val="32"/>
        </w:rPr>
        <w:t>）特别活动及推广期间依照相关活动细则进行累积积分。</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w:t>
      </w:r>
      <w:r>
        <w:rPr>
          <w:rFonts w:hint="eastAsia" w:ascii="仿宋_GB2312" w:hAnsi="Arial" w:eastAsia="仿宋_GB2312" w:cs="Arial"/>
          <w:color w:val="auto"/>
          <w:sz w:val="32"/>
          <w:szCs w:val="32"/>
          <w:lang w:eastAsia="zh-CN"/>
        </w:rPr>
        <w:t>五</w:t>
      </w:r>
      <w:r>
        <w:rPr>
          <w:rFonts w:hint="eastAsia" w:ascii="仿宋_GB2312" w:hAnsi="Arial" w:eastAsia="仿宋_GB2312" w:cs="Arial"/>
          <w:color w:val="auto"/>
          <w:sz w:val="32"/>
          <w:szCs w:val="32"/>
        </w:rPr>
        <w:t>）对于以下费用和交易不计算积分：</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1.信用卡预借现金、转账交易；</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2.信用卡年费、利息和各项费用（如取现交易手续费、滞纳金等）</w:t>
      </w:r>
      <w:r>
        <w:rPr>
          <w:rFonts w:hint="eastAsia" w:ascii="Arial" w:hAnsi="Arial" w:eastAsia="仿宋_GB2312" w:cs="Arial"/>
          <w:color w:val="auto"/>
          <w:sz w:val="32"/>
          <w:szCs w:val="32"/>
        </w:rPr>
        <w:t>。</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w:t>
      </w:r>
      <w:r>
        <w:rPr>
          <w:rFonts w:hint="eastAsia" w:ascii="仿宋_GB2312" w:hAnsi="Arial" w:eastAsia="仿宋_GB2312" w:cs="Arial"/>
          <w:color w:val="auto"/>
          <w:sz w:val="32"/>
          <w:szCs w:val="32"/>
          <w:lang w:eastAsia="zh-CN"/>
        </w:rPr>
        <w:t>六</w:t>
      </w:r>
      <w:r>
        <w:rPr>
          <w:rFonts w:hint="eastAsia" w:ascii="仿宋_GB2312" w:hAnsi="Arial" w:eastAsia="仿宋_GB2312" w:cs="Arial"/>
          <w:color w:val="auto"/>
          <w:sz w:val="32"/>
          <w:szCs w:val="32"/>
        </w:rPr>
        <w:t>）消费产生的积分在消费日的次日录入积分账户，如该笔消费发生退款，将扣除该笔消费累积的全部积分。</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w:t>
      </w:r>
      <w:r>
        <w:rPr>
          <w:rFonts w:hint="eastAsia" w:ascii="仿宋_GB2312" w:hAnsi="Arial" w:eastAsia="仿宋_GB2312" w:cs="Arial"/>
          <w:color w:val="auto"/>
          <w:sz w:val="32"/>
          <w:szCs w:val="32"/>
          <w:lang w:eastAsia="zh-CN"/>
        </w:rPr>
        <w:t>七</w:t>
      </w:r>
      <w:r>
        <w:rPr>
          <w:rFonts w:hint="eastAsia" w:ascii="仿宋_GB2312" w:hAnsi="Arial" w:eastAsia="仿宋_GB2312" w:cs="Arial"/>
          <w:color w:val="auto"/>
          <w:sz w:val="32"/>
          <w:szCs w:val="32"/>
        </w:rPr>
        <w:t>）青岛农商银行有权随时更改积分计算的项目及比例，并在法律许可的范围内保留最终解释权。</w:t>
      </w:r>
      <w:r>
        <w:rPr>
          <w:rFonts w:hint="eastAsia" w:ascii="Arial" w:hAnsi="Arial" w:eastAsia="仿宋_GB2312" w:cs="Arial"/>
          <w:color w:val="auto"/>
          <w:sz w:val="32"/>
          <w:szCs w:val="32"/>
        </w:rPr>
        <w:t> </w:t>
      </w:r>
    </w:p>
    <w:p>
      <w:pPr>
        <w:pStyle w:val="7"/>
        <w:spacing w:before="0" w:beforeAutospacing="0" w:after="0" w:afterAutospacing="0" w:line="580" w:lineRule="exact"/>
        <w:ind w:firstLine="630" w:firstLineChars="196"/>
        <w:jc w:val="center"/>
        <w:rPr>
          <w:rFonts w:hint="eastAsia" w:cs="Arial"/>
          <w:b/>
          <w:bCs/>
          <w:color w:val="auto"/>
          <w:sz w:val="32"/>
          <w:szCs w:val="32"/>
        </w:rPr>
      </w:pPr>
    </w:p>
    <w:p>
      <w:pPr>
        <w:pStyle w:val="7"/>
        <w:spacing w:before="0" w:beforeAutospacing="0" w:after="0" w:afterAutospacing="0" w:line="580" w:lineRule="exact"/>
        <w:jc w:val="center"/>
        <w:rPr>
          <w:rFonts w:hint="eastAsia" w:cs="Arial"/>
          <w:b/>
          <w:bCs/>
          <w:color w:val="auto"/>
          <w:sz w:val="32"/>
          <w:szCs w:val="32"/>
        </w:rPr>
      </w:pPr>
      <w:r>
        <w:rPr>
          <w:rFonts w:hint="eastAsia" w:cs="Arial"/>
          <w:b/>
          <w:bCs/>
          <w:color w:val="auto"/>
          <w:sz w:val="32"/>
          <w:szCs w:val="32"/>
        </w:rPr>
        <w:t>第三条  积分的有效期限</w:t>
      </w:r>
    </w:p>
    <w:p>
      <w:pPr>
        <w:pStyle w:val="7"/>
        <w:spacing w:before="0" w:beforeAutospacing="0" w:after="0" w:afterAutospacing="0" w:line="580" w:lineRule="exact"/>
        <w:ind w:left="630"/>
        <w:jc w:val="center"/>
        <w:rPr>
          <w:rFonts w:hint="eastAsia" w:cs="Arial"/>
          <w:color w:val="auto"/>
          <w:sz w:val="32"/>
          <w:szCs w:val="32"/>
        </w:rPr>
      </w:pP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青岛农商银行信用卡的积分有效期为三年，具体计算时间为自刷卡消费日的次日起三年内有效</w:t>
      </w:r>
      <w:r>
        <w:rPr>
          <w:rFonts w:hint="eastAsia" w:ascii="仿宋_GB2312" w:hAnsi="Arial" w:eastAsia="仿宋_GB2312" w:cs="Arial"/>
          <w:color w:val="auto"/>
          <w:sz w:val="32"/>
          <w:szCs w:val="32"/>
          <w:lang w:eastAsia="zh-CN"/>
        </w:rPr>
        <w:t>（专项活动以具体活动规则为准）</w:t>
      </w:r>
      <w:r>
        <w:rPr>
          <w:rFonts w:hint="eastAsia" w:ascii="仿宋_GB2312" w:hAnsi="Arial" w:eastAsia="仿宋_GB2312" w:cs="Arial"/>
          <w:color w:val="auto"/>
          <w:sz w:val="32"/>
          <w:szCs w:val="32"/>
        </w:rPr>
        <w:t>；卡片到期持卡人续卡后，积分自动延续；信用卡账户关闭或注销后，剩余积分将被清除，且不可再恢复。</w:t>
      </w:r>
      <w:r>
        <w:rPr>
          <w:rFonts w:hint="eastAsia" w:ascii="Arial" w:hAnsi="Arial" w:eastAsia="仿宋_GB2312" w:cs="Arial"/>
          <w:color w:val="auto"/>
          <w:sz w:val="32"/>
          <w:szCs w:val="32"/>
        </w:rPr>
        <w:t> </w:t>
      </w:r>
    </w:p>
    <w:p>
      <w:pPr>
        <w:pStyle w:val="7"/>
        <w:spacing w:before="0" w:beforeAutospacing="0" w:after="0" w:afterAutospacing="0" w:line="580" w:lineRule="exact"/>
        <w:rPr>
          <w:rFonts w:hint="eastAsia" w:cs="Arial"/>
          <w:b/>
          <w:bCs/>
          <w:color w:val="auto"/>
          <w:sz w:val="32"/>
          <w:szCs w:val="32"/>
        </w:rPr>
      </w:pPr>
    </w:p>
    <w:p>
      <w:pPr>
        <w:pStyle w:val="7"/>
        <w:spacing w:before="0" w:beforeAutospacing="0" w:after="0" w:afterAutospacing="0" w:line="580" w:lineRule="exact"/>
        <w:jc w:val="center"/>
        <w:rPr>
          <w:rFonts w:hint="eastAsia" w:cs="Arial"/>
          <w:b/>
          <w:bCs/>
          <w:color w:val="auto"/>
          <w:sz w:val="32"/>
          <w:szCs w:val="32"/>
        </w:rPr>
      </w:pPr>
      <w:r>
        <w:rPr>
          <w:rFonts w:hint="eastAsia" w:cs="Arial"/>
          <w:b/>
          <w:bCs/>
          <w:color w:val="auto"/>
          <w:sz w:val="32"/>
          <w:szCs w:val="32"/>
        </w:rPr>
        <w:t>第四条  积分的查询</w:t>
      </w:r>
    </w:p>
    <w:p>
      <w:pPr>
        <w:pStyle w:val="7"/>
        <w:spacing w:before="0" w:beforeAutospacing="0" w:after="0" w:afterAutospacing="0" w:line="580" w:lineRule="exact"/>
        <w:ind w:left="630"/>
        <w:jc w:val="center"/>
        <w:rPr>
          <w:rFonts w:hint="eastAsia" w:cs="Arial"/>
          <w:b/>
          <w:color w:val="auto"/>
          <w:sz w:val="32"/>
          <w:szCs w:val="32"/>
        </w:rPr>
      </w:pP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信用卡积分查询仅限信用卡主卡持卡人，持卡人可通过以下几种途径获知积分累计情况：</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（一）青岛农商银行每期信用卡对账单上列印其积分余额及变动情况。</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（二）持卡人可致电24小时客户服务热线4001196668查询。</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（三）登录青农商信用卡手机客户端、微信公众号“青岛农商银行信用卡”积分页面查询。</w:t>
      </w:r>
    </w:p>
    <w:p>
      <w:pPr>
        <w:pStyle w:val="7"/>
        <w:spacing w:before="0" w:beforeAutospacing="0" w:after="0" w:afterAutospacing="0" w:line="580" w:lineRule="exact"/>
        <w:rPr>
          <w:rFonts w:hint="eastAsia" w:cs="Arial"/>
          <w:b/>
          <w:bCs/>
          <w:color w:val="auto"/>
          <w:sz w:val="32"/>
          <w:szCs w:val="32"/>
        </w:rPr>
      </w:pPr>
    </w:p>
    <w:p>
      <w:pPr>
        <w:pStyle w:val="7"/>
        <w:spacing w:before="0" w:beforeAutospacing="0" w:after="0" w:afterAutospacing="0" w:line="580" w:lineRule="exact"/>
        <w:jc w:val="center"/>
        <w:rPr>
          <w:rFonts w:hint="eastAsia" w:cs="Arial"/>
          <w:b/>
          <w:bCs/>
          <w:color w:val="auto"/>
          <w:sz w:val="32"/>
          <w:szCs w:val="32"/>
        </w:rPr>
      </w:pPr>
      <w:r>
        <w:rPr>
          <w:rFonts w:hint="eastAsia" w:cs="Arial"/>
          <w:b/>
          <w:bCs/>
          <w:color w:val="auto"/>
          <w:sz w:val="32"/>
          <w:szCs w:val="32"/>
        </w:rPr>
        <w:t>第五条  积分兑换规则</w:t>
      </w:r>
    </w:p>
    <w:p>
      <w:pPr>
        <w:pStyle w:val="7"/>
        <w:spacing w:before="0" w:beforeAutospacing="0" w:after="0" w:afterAutospacing="0" w:line="580" w:lineRule="exact"/>
        <w:ind w:firstLine="627" w:firstLineChars="196"/>
        <w:jc w:val="center"/>
        <w:rPr>
          <w:rFonts w:hint="eastAsia" w:cs="Arial"/>
          <w:color w:val="auto"/>
          <w:sz w:val="32"/>
          <w:szCs w:val="32"/>
        </w:rPr>
      </w:pP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（一）我行不断推出积分活动和积分礼品，不同积分活动和积分礼品兑换的有效期及兑换规则将随具体活动确定并另行公告。</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（二）持卡人可通过登录青农商信用卡手机客户端自行兑换。</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（三）兑换申请一经提交，恕不接受更改或撤销。如持卡人账户积分不够，兑换礼品的申请自动撤消，未兑换的积分仍有效，不再另行通知。</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（四）正常情况下，持卡人将在正式受理兑换申请后的一个月内收到礼品</w:t>
      </w:r>
      <w:r>
        <w:rPr>
          <w:rFonts w:hint="eastAsia" w:ascii="仿宋_GB2312" w:hAnsi="Arial" w:eastAsia="仿宋_GB2312" w:cs="Arial"/>
          <w:color w:val="auto"/>
          <w:sz w:val="32"/>
          <w:szCs w:val="32"/>
          <w:lang w:eastAsia="zh-CN"/>
        </w:rPr>
        <w:t>，因疫情、其他意外或</w:t>
      </w:r>
      <w:r>
        <w:rPr>
          <w:rFonts w:hint="eastAsia" w:ascii="仿宋" w:hAnsi="仿宋" w:eastAsia="仿宋" w:cs="仿宋"/>
          <w:sz w:val="32"/>
          <w:szCs w:val="32"/>
        </w:rPr>
        <w:t>不可抗力</w:t>
      </w:r>
      <w:r>
        <w:rPr>
          <w:rFonts w:hint="eastAsia" w:ascii="仿宋" w:hAnsi="仿宋" w:eastAsia="仿宋" w:cs="仿宋"/>
          <w:sz w:val="32"/>
          <w:szCs w:val="32"/>
          <w:lang w:eastAsia="zh-CN"/>
        </w:rPr>
        <w:t>等原因，</w:t>
      </w:r>
      <w:r>
        <w:rPr>
          <w:rFonts w:hint="eastAsia" w:ascii="仿宋" w:hAnsi="仿宋" w:eastAsia="仿宋" w:cs="仿宋"/>
          <w:sz w:val="32"/>
          <w:szCs w:val="32"/>
        </w:rPr>
        <w:t>影响</w:t>
      </w:r>
      <w:r>
        <w:rPr>
          <w:rFonts w:hint="eastAsia" w:ascii="仿宋" w:hAnsi="仿宋" w:eastAsia="仿宋" w:cs="仿宋"/>
          <w:sz w:val="32"/>
          <w:szCs w:val="32"/>
          <w:lang w:eastAsia="zh-CN"/>
        </w:rPr>
        <w:t>礼物发放</w:t>
      </w:r>
      <w:r>
        <w:rPr>
          <w:rFonts w:hint="eastAsia" w:ascii="仿宋" w:hAnsi="仿宋" w:eastAsia="仿宋" w:cs="仿宋"/>
          <w:sz w:val="32"/>
          <w:szCs w:val="32"/>
        </w:rPr>
        <w:t>的</w:t>
      </w:r>
      <w:r>
        <w:rPr>
          <w:rFonts w:hint="eastAsia" w:ascii="仿宋" w:hAnsi="仿宋" w:eastAsia="仿宋" w:cs="仿宋"/>
          <w:sz w:val="32"/>
          <w:szCs w:val="32"/>
          <w:lang w:eastAsia="zh-CN"/>
        </w:rPr>
        <w:t>，</w:t>
      </w:r>
      <w:r>
        <w:rPr>
          <w:rFonts w:hint="eastAsia" w:ascii="仿宋" w:hAnsi="仿宋" w:eastAsia="仿宋" w:cs="仿宋"/>
          <w:sz w:val="32"/>
          <w:szCs w:val="32"/>
        </w:rPr>
        <w:t>时间作相应延长</w:t>
      </w:r>
      <w:r>
        <w:rPr>
          <w:rFonts w:hint="eastAsia" w:ascii="仿宋" w:hAnsi="仿宋" w:eastAsia="仿宋" w:cs="仿宋"/>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（五）签收前发现礼品外包装破损或存在质量问题，请不要签收礼品，礼品供应商将免费重新配送。</w:t>
      </w:r>
      <w:r>
        <w:rPr>
          <w:rFonts w:hint="eastAsia" w:ascii="仿宋_GB2312" w:hAnsi="Arial" w:eastAsia="仿宋_GB2312" w:cs="Arial"/>
          <w:color w:val="auto"/>
          <w:sz w:val="32"/>
          <w:szCs w:val="32"/>
          <w:lang w:eastAsia="zh-CN"/>
        </w:rPr>
        <w:t>已签收的</w:t>
      </w:r>
      <w:r>
        <w:rPr>
          <w:rFonts w:hint="eastAsia" w:ascii="仿宋_GB2312" w:hAnsi="Arial" w:eastAsia="仿宋_GB2312" w:cs="Arial"/>
          <w:color w:val="auto"/>
          <w:sz w:val="32"/>
          <w:szCs w:val="32"/>
        </w:rPr>
        <w:t>如非外包装破损或质量问题，请不要拒收礼品，否则持卡人需承担相关费用。</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（六）青岛农商银行与积分礼品供应商之间不存在合作、代理、经销关系。所有涉及礼品质量和使用的相关责任由供应商全权负责，礼品的保修依据国家有关规定由厂商提供服务，青岛农商银行不承担相关责任。</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（七）积分活动宣传中涉及的礼品图片、尺寸、材质以及性能指标等</w:t>
      </w:r>
      <w:r>
        <w:rPr>
          <w:rFonts w:hint="eastAsia" w:ascii="仿宋_GB2312" w:hAnsi="Arial" w:eastAsia="仿宋_GB2312" w:cs="Arial"/>
          <w:color w:val="auto"/>
          <w:sz w:val="32"/>
          <w:szCs w:val="32"/>
          <w:lang w:eastAsia="zh-CN"/>
        </w:rPr>
        <w:t>由礼品供应商提供，</w:t>
      </w:r>
      <w:r>
        <w:rPr>
          <w:rFonts w:hint="eastAsia" w:ascii="仿宋_GB2312" w:hAnsi="Arial" w:eastAsia="仿宋_GB2312" w:cs="Arial"/>
          <w:color w:val="auto"/>
          <w:sz w:val="32"/>
          <w:szCs w:val="32"/>
        </w:rPr>
        <w:t>仅供参考，以实物为准</w:t>
      </w:r>
      <w:r>
        <w:rPr>
          <w:rFonts w:hint="eastAsia" w:ascii="仿宋_GB2312" w:hAnsi="Arial" w:eastAsia="仿宋_GB2312" w:cs="Arial"/>
          <w:color w:val="auto"/>
          <w:sz w:val="32"/>
          <w:szCs w:val="32"/>
          <w:lang w:eastAsia="zh-CN"/>
        </w:rPr>
        <w:t>，</w:t>
      </w:r>
      <w:r>
        <w:rPr>
          <w:rFonts w:hint="eastAsia" w:ascii="仿宋_GB2312" w:hAnsi="Arial" w:eastAsia="仿宋_GB2312" w:cs="Arial"/>
          <w:color w:val="auto"/>
          <w:sz w:val="32"/>
          <w:szCs w:val="32"/>
        </w:rPr>
        <w:t>青岛农商银</w:t>
      </w:r>
      <w:r>
        <w:rPr>
          <w:rFonts w:hint="eastAsia" w:ascii="仿宋_GB2312" w:hAnsi="Arial" w:eastAsia="仿宋_GB2312" w:cs="Arial"/>
          <w:color w:val="auto"/>
          <w:sz w:val="32"/>
          <w:szCs w:val="32"/>
          <w:lang w:eastAsia="zh-CN"/>
        </w:rPr>
        <w:t>行不承担礼品宣传及信息保障等相关责任</w:t>
      </w:r>
      <w:r>
        <w:rPr>
          <w:rFonts w:hint="eastAsia" w:ascii="仿宋_GB2312" w:hAnsi="Arial" w:eastAsia="仿宋_GB2312" w:cs="Arial"/>
          <w:color w:val="auto"/>
          <w:sz w:val="32"/>
          <w:szCs w:val="32"/>
        </w:rPr>
        <w:t>。</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（八）成功兑换礼品后，青岛农商银行将从持卡人信用卡账户中扣除兑换礼品所需的积分</w:t>
      </w:r>
      <w:r>
        <w:rPr>
          <w:rFonts w:hint="eastAsia" w:ascii="仿宋_GB2312" w:hAnsi="Arial" w:eastAsia="仿宋_GB2312" w:cs="Arial"/>
          <w:color w:val="auto"/>
          <w:sz w:val="32"/>
          <w:szCs w:val="32"/>
          <w:lang w:eastAsia="zh-CN"/>
        </w:rPr>
        <w:t>，积分扣除后，不得以持卡人与信用卡申请人不一致等原因申请撤销或重复申领。因持卡人原因导致信息泄露或他人代领等其他原因，致使积分已被兑换或未能收到礼品的，本行不承担相应责任</w:t>
      </w:r>
      <w:r>
        <w:rPr>
          <w:rFonts w:hint="eastAsia" w:ascii="仿宋_GB2312" w:hAnsi="Arial" w:eastAsia="仿宋_GB2312" w:cs="Arial"/>
          <w:color w:val="auto"/>
          <w:sz w:val="32"/>
          <w:szCs w:val="32"/>
        </w:rPr>
        <w:t>。</w:t>
      </w:r>
    </w:p>
    <w:p>
      <w:pPr>
        <w:pStyle w:val="7"/>
        <w:spacing w:before="0" w:beforeAutospacing="0" w:after="0" w:afterAutospacing="0" w:line="580" w:lineRule="exact"/>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（九）本行独立判断认为，持卡人的特定刷卡消费为恶意或伪造非真实交易骗取积分并兑换积分礼品的，本行有权要求持卡人退回礼品；拒不退还的，本行有权从持卡人信用卡账户扣取礼品相应价值的金额。</w:t>
      </w:r>
    </w:p>
    <w:p>
      <w:pPr>
        <w:pStyle w:val="7"/>
        <w:spacing w:before="0" w:beforeAutospacing="0" w:after="0" w:afterAutospacing="0" w:line="580" w:lineRule="exact"/>
        <w:ind w:firstLine="630" w:firstLineChars="196"/>
        <w:jc w:val="center"/>
        <w:rPr>
          <w:rFonts w:hint="eastAsia" w:cs="Arial"/>
          <w:b/>
          <w:bCs/>
          <w:color w:val="auto"/>
          <w:sz w:val="32"/>
          <w:szCs w:val="32"/>
        </w:rPr>
      </w:pPr>
    </w:p>
    <w:p>
      <w:pPr>
        <w:pStyle w:val="7"/>
        <w:spacing w:before="0" w:beforeAutospacing="0" w:after="0" w:afterAutospacing="0" w:line="580" w:lineRule="exact"/>
        <w:jc w:val="center"/>
        <w:rPr>
          <w:rFonts w:hint="eastAsia" w:cs="Arial"/>
          <w:b/>
          <w:bCs/>
          <w:color w:val="auto"/>
          <w:sz w:val="32"/>
          <w:szCs w:val="32"/>
        </w:rPr>
      </w:pPr>
      <w:r>
        <w:rPr>
          <w:rFonts w:hint="eastAsia" w:cs="Arial"/>
          <w:b/>
          <w:bCs/>
          <w:color w:val="auto"/>
          <w:sz w:val="32"/>
          <w:szCs w:val="32"/>
        </w:rPr>
        <w:t>第六条  说明</w:t>
      </w:r>
    </w:p>
    <w:p>
      <w:pPr>
        <w:pStyle w:val="7"/>
        <w:spacing w:before="0" w:beforeAutospacing="0" w:after="0" w:afterAutospacing="0" w:line="580" w:lineRule="exact"/>
        <w:ind w:left="630"/>
        <w:jc w:val="center"/>
        <w:rPr>
          <w:rFonts w:hint="eastAsia" w:cs="Arial"/>
          <w:color w:val="auto"/>
          <w:sz w:val="32"/>
          <w:szCs w:val="32"/>
        </w:rPr>
      </w:pPr>
    </w:p>
    <w:p>
      <w:pPr>
        <w:pStyle w:val="7"/>
        <w:spacing w:before="0" w:beforeAutospacing="0" w:after="0" w:afterAutospacing="0" w:line="580" w:lineRule="exact"/>
        <w:ind w:firstLine="640" w:firstLineChars="200"/>
        <w:rPr>
          <w:rFonts w:hint="eastAsia" w:ascii="Arial" w:hAnsi="Arial" w:eastAsia="仿宋_GB2312" w:cs="Arial"/>
          <w:color w:val="auto"/>
          <w:sz w:val="32"/>
          <w:szCs w:val="32"/>
        </w:rPr>
      </w:pPr>
      <w:r>
        <w:rPr>
          <w:rFonts w:hint="eastAsia" w:ascii="仿宋_GB2312" w:hAnsi="Arial" w:eastAsia="仿宋_GB2312" w:cs="Arial"/>
          <w:color w:val="auto"/>
          <w:sz w:val="32"/>
          <w:szCs w:val="32"/>
        </w:rPr>
        <w:t>青岛农商银行有权随时修改本积分计划的条款及细则，或者延迟或提前终止本积分计划，或者调整本积分计划的兑换项目，且无须事先征得持卡人的同意。本积分计划条款及细则中如有任何争议，青岛农商银行保留最终解释权</w:t>
      </w:r>
      <w:r>
        <w:rPr>
          <w:rFonts w:hint="eastAsia" w:ascii="仿宋_GB2312" w:hAnsi="Arial" w:eastAsia="仿宋_GB2312" w:cs="Arial"/>
          <w:color w:val="auto"/>
          <w:sz w:val="32"/>
          <w:szCs w:val="32"/>
          <w:lang w:eastAsia="zh-CN"/>
        </w:rPr>
        <w:t>，活动期间产生纠纷以协商解决为原则，协商不成，依法向农商行所在地人民法院起诉</w:t>
      </w:r>
      <w:r>
        <w:rPr>
          <w:rFonts w:hint="eastAsia" w:ascii="仿宋_GB2312" w:hAnsi="Arial" w:eastAsia="仿宋_GB2312" w:cs="Arial"/>
          <w:color w:val="auto"/>
          <w:sz w:val="32"/>
          <w:szCs w:val="32"/>
        </w:rPr>
        <w:t>。</w:t>
      </w:r>
      <w:r>
        <w:rPr>
          <w:rFonts w:hint="eastAsia" w:ascii="Arial" w:hAnsi="Arial" w:eastAsia="仿宋_GB2312" w:cs="Arial"/>
          <w:color w:val="auto"/>
          <w:sz w:val="32"/>
          <w:szCs w:val="32"/>
        </w:rPr>
        <w:t> </w:t>
      </w:r>
    </w:p>
    <w:p>
      <w:pPr>
        <w:pStyle w:val="7"/>
        <w:spacing w:before="0" w:beforeAutospacing="0" w:after="0" w:afterAutospacing="0" w:line="580" w:lineRule="exact"/>
        <w:ind w:firstLine="640" w:firstLineChars="200"/>
        <w:rPr>
          <w:rFonts w:hint="eastAsia" w:ascii="Arial" w:hAnsi="Arial" w:eastAsia="仿宋_GB2312" w:cs="Arial"/>
          <w:color w:val="auto"/>
          <w:sz w:val="32"/>
          <w:szCs w:val="32"/>
        </w:rPr>
      </w:pPr>
    </w:p>
    <w:p>
      <w:pPr>
        <w:pStyle w:val="7"/>
        <w:spacing w:before="0" w:beforeAutospacing="0" w:after="0" w:afterAutospacing="0" w:line="580" w:lineRule="exact"/>
        <w:rPr>
          <w:rFonts w:hint="default" w:ascii="Arial" w:hAnsi="Arial" w:eastAsia="仿宋_GB2312" w:cs="Arial"/>
          <w:color w:val="auto"/>
          <w:sz w:val="32"/>
          <w:szCs w:val="32"/>
          <w:lang w:val="en-US" w:eastAsia="zh-CN"/>
        </w:rPr>
      </w:pPr>
    </w:p>
    <w:p/>
    <w:sectPr>
      <w:footerReference r:id="rId3" w:type="default"/>
      <w:footerReference r:id="rId4" w:type="even"/>
      <w:pgSz w:w="11906" w:h="16838"/>
      <w:pgMar w:top="2155" w:right="1474" w:bottom="215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4</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17B30"/>
    <w:rsid w:val="03B10CFA"/>
    <w:rsid w:val="04027589"/>
    <w:rsid w:val="04192D5B"/>
    <w:rsid w:val="042B6710"/>
    <w:rsid w:val="05C40138"/>
    <w:rsid w:val="07810082"/>
    <w:rsid w:val="07943CD1"/>
    <w:rsid w:val="07E524D5"/>
    <w:rsid w:val="08AC6E3B"/>
    <w:rsid w:val="0B024184"/>
    <w:rsid w:val="0B0E3B61"/>
    <w:rsid w:val="0B6F34BC"/>
    <w:rsid w:val="0B7B5879"/>
    <w:rsid w:val="0BA34D16"/>
    <w:rsid w:val="0CC802AB"/>
    <w:rsid w:val="0CD129CE"/>
    <w:rsid w:val="0CDE6EA3"/>
    <w:rsid w:val="0E753A06"/>
    <w:rsid w:val="11130E97"/>
    <w:rsid w:val="122D2AD6"/>
    <w:rsid w:val="133D5540"/>
    <w:rsid w:val="13A0003E"/>
    <w:rsid w:val="15D33744"/>
    <w:rsid w:val="15D57F71"/>
    <w:rsid w:val="164A3DF2"/>
    <w:rsid w:val="16893C1B"/>
    <w:rsid w:val="16E01FEE"/>
    <w:rsid w:val="175A0101"/>
    <w:rsid w:val="19DE313A"/>
    <w:rsid w:val="1A424A33"/>
    <w:rsid w:val="1A935A4A"/>
    <w:rsid w:val="1AF5213A"/>
    <w:rsid w:val="1BB13600"/>
    <w:rsid w:val="1E0B24C7"/>
    <w:rsid w:val="1EB7677A"/>
    <w:rsid w:val="1FB57C01"/>
    <w:rsid w:val="20571B5B"/>
    <w:rsid w:val="215669A5"/>
    <w:rsid w:val="22B44908"/>
    <w:rsid w:val="23243C33"/>
    <w:rsid w:val="23624F51"/>
    <w:rsid w:val="24381C07"/>
    <w:rsid w:val="24F26F3F"/>
    <w:rsid w:val="250B39A2"/>
    <w:rsid w:val="25B83CAC"/>
    <w:rsid w:val="26285E56"/>
    <w:rsid w:val="263905F4"/>
    <w:rsid w:val="275B15B3"/>
    <w:rsid w:val="278D320F"/>
    <w:rsid w:val="28BF6A9B"/>
    <w:rsid w:val="290E2A08"/>
    <w:rsid w:val="2AC52A3B"/>
    <w:rsid w:val="2B0C08E4"/>
    <w:rsid w:val="2B1009CD"/>
    <w:rsid w:val="2F631D4B"/>
    <w:rsid w:val="2F6C450F"/>
    <w:rsid w:val="33175C52"/>
    <w:rsid w:val="33232F3C"/>
    <w:rsid w:val="342922BF"/>
    <w:rsid w:val="344B05DC"/>
    <w:rsid w:val="35665EE3"/>
    <w:rsid w:val="35900506"/>
    <w:rsid w:val="36F46445"/>
    <w:rsid w:val="37AD7446"/>
    <w:rsid w:val="38F70F6C"/>
    <w:rsid w:val="3A721B12"/>
    <w:rsid w:val="3BBC5364"/>
    <w:rsid w:val="3CBE0D61"/>
    <w:rsid w:val="3CFC5134"/>
    <w:rsid w:val="3DA6258C"/>
    <w:rsid w:val="3DE33B21"/>
    <w:rsid w:val="3FCD3234"/>
    <w:rsid w:val="419F663D"/>
    <w:rsid w:val="42426E6A"/>
    <w:rsid w:val="42617B30"/>
    <w:rsid w:val="458B5353"/>
    <w:rsid w:val="45BF0EBD"/>
    <w:rsid w:val="463F2AC1"/>
    <w:rsid w:val="46640E5F"/>
    <w:rsid w:val="47450453"/>
    <w:rsid w:val="4803644D"/>
    <w:rsid w:val="4C190AF8"/>
    <w:rsid w:val="4E4F2E29"/>
    <w:rsid w:val="4E657C86"/>
    <w:rsid w:val="504B4606"/>
    <w:rsid w:val="535505A0"/>
    <w:rsid w:val="53D2367D"/>
    <w:rsid w:val="5432226D"/>
    <w:rsid w:val="5511535B"/>
    <w:rsid w:val="55915A4A"/>
    <w:rsid w:val="560E2814"/>
    <w:rsid w:val="56CF02E0"/>
    <w:rsid w:val="57607CB5"/>
    <w:rsid w:val="58762B82"/>
    <w:rsid w:val="589D274D"/>
    <w:rsid w:val="59A1133B"/>
    <w:rsid w:val="59AB0CEA"/>
    <w:rsid w:val="59EF7B6A"/>
    <w:rsid w:val="5B6169FF"/>
    <w:rsid w:val="5BC94E6E"/>
    <w:rsid w:val="5DCF5FCA"/>
    <w:rsid w:val="5DEE0BAF"/>
    <w:rsid w:val="5E7E1284"/>
    <w:rsid w:val="5EC82024"/>
    <w:rsid w:val="62C86715"/>
    <w:rsid w:val="62EA72C8"/>
    <w:rsid w:val="631D501A"/>
    <w:rsid w:val="63C07A36"/>
    <w:rsid w:val="64E451ED"/>
    <w:rsid w:val="64EB25A5"/>
    <w:rsid w:val="656A0CBD"/>
    <w:rsid w:val="65D929C1"/>
    <w:rsid w:val="66DF59F3"/>
    <w:rsid w:val="67DA5FE8"/>
    <w:rsid w:val="6804096B"/>
    <w:rsid w:val="68E65846"/>
    <w:rsid w:val="6A396852"/>
    <w:rsid w:val="6BC56073"/>
    <w:rsid w:val="6ED44578"/>
    <w:rsid w:val="6EFF0483"/>
    <w:rsid w:val="6F602251"/>
    <w:rsid w:val="70360AF0"/>
    <w:rsid w:val="71EB1608"/>
    <w:rsid w:val="720F6C25"/>
    <w:rsid w:val="723E0EF6"/>
    <w:rsid w:val="72BF7101"/>
    <w:rsid w:val="733A370F"/>
    <w:rsid w:val="754025CC"/>
    <w:rsid w:val="79030FEB"/>
    <w:rsid w:val="79062279"/>
    <w:rsid w:val="79400307"/>
    <w:rsid w:val="7A0D3B78"/>
    <w:rsid w:val="7B367ADB"/>
    <w:rsid w:val="7D1B4BCD"/>
    <w:rsid w:val="7D2B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page number"/>
    <w:basedOn w:val="5"/>
    <w:uiPriority w:val="0"/>
  </w:style>
  <w:style w:type="paragraph" w:customStyle="1" w:styleId="7">
    <w:name w:val="p0"/>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2021-12-01T00:55:00Z</dcterms:created>
  <dc:creator>刘海翰</dc:creator>
  <cp:lastModifiedBy>刘海翰</cp:lastModifiedBy>
  <dcterms:modified xsi:type="dcterms:W3CDTF">2021-12-01T00:56:06Z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KSOProductBuildMID">
    <vt:lpwstr>SPWMQ6B779TA0VHGRVR8YLJN7NLMO7GREU0XLJEDXFF8TEWT60BJQC0CFY9HPFRRBOMXSOL5ZH578LNJENFA0FFZ8RL0WMCB8JOD0HB37EBFBC8E556C1CDB1016CD4256F3F0A2</vt:lpwstr>
  </property>
</Properties>
</file>